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2444" w:type="dxa"/>
        <w:tblInd w:w="93" w:type="dxa"/>
        <w:tblLook w:val="04A0" w:firstRow="1" w:lastRow="0" w:firstColumn="1" w:lastColumn="0" w:noHBand="0" w:noVBand="1"/>
      </w:tblPr>
      <w:tblGrid>
        <w:gridCol w:w="1528"/>
        <w:gridCol w:w="849"/>
        <w:gridCol w:w="803"/>
        <w:gridCol w:w="1785"/>
        <w:gridCol w:w="2880"/>
        <w:gridCol w:w="1710"/>
        <w:gridCol w:w="2889"/>
      </w:tblGrid>
      <w:tr w:rsidR="0061768F" w:rsidRPr="00C1547A" w:rsidTr="0061768F">
        <w:trPr>
          <w:trHeight w:val="792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00FFFF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</w:pPr>
            <w:r w:rsidRPr="0061768F">
              <w:rPr>
                <w:rFonts w:ascii="Arial" w:eastAsia="Times New Roman" w:hAnsi="Arial" w:cs="Arial"/>
                <w:b/>
                <w:bCs/>
                <w:sz w:val="28"/>
                <w:szCs w:val="28"/>
                <w:lang w:val="ru-RU"/>
              </w:rPr>
              <w:t>Спецификација предмета за књигу предмета</w:t>
            </w:r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програм</w:t>
            </w:r>
            <w:proofErr w:type="spellEnd"/>
          </w:p>
        </w:tc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ЈКК</w:t>
            </w: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; Превођење</w:t>
            </w:r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Врста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и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ниво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студија</w:t>
            </w:r>
            <w:proofErr w:type="spellEnd"/>
          </w:p>
        </w:tc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Мастер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академске</w:t>
            </w:r>
            <w:proofErr w:type="spellEnd"/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Назив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Психологија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читања</w:t>
            </w:r>
            <w:proofErr w:type="spellEnd"/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Маја</w:t>
            </w:r>
            <w:proofErr w:type="spellEnd"/>
            <w:r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eastAsia="Times New Roman" w:hAnsi="Arial" w:cs="Arial"/>
                <w:sz w:val="20"/>
                <w:szCs w:val="20"/>
              </w:rPr>
              <w:t>Савић</w:t>
            </w:r>
            <w:proofErr w:type="spellEnd"/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FF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Маја Савић</w:t>
            </w: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318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Наставник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сарадник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ДОН)</w:t>
            </w:r>
          </w:p>
        </w:tc>
        <w:tc>
          <w:tcPr>
            <w:tcW w:w="926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Број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ЕСПБ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6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Статус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(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обавезни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/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изборни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)</w:t>
            </w: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изборни</w:t>
            </w:r>
            <w:proofErr w:type="spellEnd"/>
          </w:p>
        </w:tc>
      </w:tr>
      <w:tr w:rsidR="0061768F" w:rsidRPr="0061768F" w:rsidTr="0061768F">
        <w:trPr>
          <w:trHeight w:val="25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Услов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Без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услова</w:t>
            </w:r>
            <w:proofErr w:type="spellEnd"/>
          </w:p>
        </w:tc>
      </w:tr>
      <w:tr w:rsidR="0061768F" w:rsidRPr="00C1547A" w:rsidTr="0061768F">
        <w:trPr>
          <w:trHeight w:val="1898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Циљ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C1547A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Циљ курса је да се из когнитивне перспективе сагледа процес читања као комплексне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sr-Cyrl-RS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>способности која захтева ангажовање и координацију више когнитивних процеса попут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sr-Cyrl-RS"/>
              </w:rPr>
              <w:t xml:space="preserve">пажње, перцепције, кодирања, памћења, мишљења. 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ће се упознати са основним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концептима, емпиријским налазима у овој области и моделима који објашњавају процес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читања. Један од циљева биће и да студенти умеју да препознају развојни поремећај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везан за тешкоће у читању - дислексију и да пруже подршку ученицима са тим тешкоћама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 току наставе. У току курса, посебна пажња биће усмерена на то да студенти разумеју</w:t>
            </w:r>
          </w:p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значај и потенцијал читалачке способности у образовном контексту.</w:t>
            </w:r>
          </w:p>
        </w:tc>
      </w:tr>
      <w:tr w:rsidR="0061768F" w:rsidRPr="00C1547A" w:rsidTr="0061768F">
        <w:trPr>
          <w:trHeight w:val="224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Исход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Студенти ће бити у стању да: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опишу и разумеју улогу когнитивних процеса при читању;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разумеју основне концепте и емпиријске налазе из ове области истраживања;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опишу и разумеју предуслове за усвајање читања и овладавање овом вештином;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препознају развојни поремећај везан за тешкоће у читању - дислексију и да пруже подршку</w:t>
            </w:r>
          </w:p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ученицима са тим тешкоћама у току наставе;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разумеју факторе који утичу на мотивацију за читање;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br/>
              <w:t>- разумеју читалачку писменост као једну од кључних ученичких компетенција.</w:t>
            </w:r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Садржај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предмета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C1547A" w:rsidTr="0061768F">
        <w:trPr>
          <w:trHeight w:val="1358"/>
        </w:trPr>
        <w:tc>
          <w:tcPr>
            <w:tcW w:w="152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CCFFCC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Теоријска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Увод у област психологије читања; Методе за испитивање процеса читања; Когнитивни</w:t>
            </w:r>
          </w:p>
          <w:p w:rsid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процеси у основи читања; Читање речи; Читање реченица и текста; Рана писменост;</w:t>
            </w:r>
          </w:p>
          <w:p w:rsidR="00C1547A" w:rsidRPr="00C1547A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Усвајање читања; Читање на језицима са различитим ортогафијама; Читање код билингвала; Тешкоће у усвајању читања и развојна дислексија; Индивидуалне разлике у способности читања и </w:t>
            </w:r>
          </w:p>
          <w:p w:rsidR="0061768F" w:rsidRPr="0061768F" w:rsidRDefault="00C1547A" w:rsidP="00C1547A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У</w:t>
            </w:r>
            <w:r w:rsidR="0061768F"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брзавање</w:t>
            </w:r>
            <w:r w:rsidRPr="00E622B2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</w:t>
            </w:r>
            <w:r w:rsidR="0061768F"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читања; Мотивација за читање; Читалачка писменост.</w:t>
            </w:r>
          </w:p>
        </w:tc>
      </w:tr>
      <w:tr w:rsidR="0061768F" w:rsidRPr="00C1547A" w:rsidTr="0061768F">
        <w:trPr>
          <w:trHeight w:val="2048"/>
        </w:trPr>
        <w:tc>
          <w:tcPr>
            <w:tcW w:w="1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Практична настава (вежбе, ДОН, студијски истражива-чки рад)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</w:p>
        </w:tc>
      </w:tr>
      <w:tr w:rsidR="0061768F" w:rsidRPr="0061768F" w:rsidTr="0061768F">
        <w:trPr>
          <w:trHeight w:val="263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Литература</w:t>
            </w:r>
            <w:proofErr w:type="spellEnd"/>
          </w:p>
        </w:tc>
      </w:tr>
      <w:tr w:rsidR="0061768F" w:rsidRPr="0061768F" w:rsidTr="0061768F">
        <w:trPr>
          <w:trHeight w:val="33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1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Лаловић, Д. (2012). </w:t>
            </w:r>
            <w:r w:rsidRPr="0061768F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 xml:space="preserve">Читање: од слова до текста.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Београд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: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1768F" w:rsidRPr="0061768F" w:rsidTr="0061768F">
        <w:trPr>
          <w:trHeight w:val="62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CCFFCC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Лаловић, Д. (2013). </w:t>
            </w:r>
            <w:r w:rsidRPr="0061768F">
              <w:rPr>
                <w:rFonts w:ascii="Arial" w:eastAsia="Times New Roman" w:hAnsi="Arial" w:cs="Arial"/>
                <w:i/>
                <w:iCs/>
                <w:sz w:val="20"/>
                <w:szCs w:val="20"/>
                <w:lang w:val="ru-RU"/>
              </w:rPr>
              <w:t>Теоријски и примењени аспекти психологије читања</w:t>
            </w: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 xml:space="preserve"> (зборник радова).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Универзитет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у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Београду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,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Филозофски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факултет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.</w:t>
            </w:r>
          </w:p>
        </w:tc>
      </w:tr>
      <w:tr w:rsidR="0061768F" w:rsidRPr="0061768F" w:rsidTr="0061768F">
        <w:trPr>
          <w:trHeight w:val="26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3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Miles, T.R. &amp; Miles, E. (2004). </w:t>
            </w:r>
            <w:proofErr w:type="spellStart"/>
            <w:r w:rsidRPr="006176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Disleksija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.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Naklada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Slap</w:t>
            </w:r>
          </w:p>
        </w:tc>
      </w:tr>
      <w:tr w:rsidR="0061768F" w:rsidRPr="0061768F" w:rsidTr="0061768F">
        <w:trPr>
          <w:trHeight w:val="26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4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622B2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Snowling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, J.M., &amp;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Hulme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, C. (2005). </w:t>
            </w:r>
            <w:r w:rsidRPr="0061768F">
              <w:rPr>
                <w:rFonts w:ascii="Arial" w:eastAsia="Times New Roman" w:hAnsi="Arial" w:cs="Arial"/>
                <w:i/>
                <w:iCs/>
                <w:sz w:val="20"/>
                <w:szCs w:val="20"/>
              </w:rPr>
              <w:t>The Science of Reading: A Handbook</w:t>
            </w:r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. Wiley-Blackwell </w:t>
            </w:r>
          </w:p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(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одабрана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поглавља</w:t>
            </w:r>
            <w:proofErr w:type="spellEnd"/>
            <w:r w:rsidRPr="0061768F">
              <w:rPr>
                <w:rFonts w:ascii="Arial" w:eastAsia="Times New Roman" w:hAnsi="Arial" w:cs="Arial"/>
                <w:sz w:val="20"/>
                <w:szCs w:val="20"/>
              </w:rPr>
              <w:t>)</w:t>
            </w:r>
          </w:p>
        </w:tc>
      </w:tr>
      <w:tr w:rsidR="0061768F" w:rsidRPr="0061768F" w:rsidTr="0061768F">
        <w:trPr>
          <w:trHeight w:val="26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5</w:t>
            </w:r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bookmarkStart w:id="0" w:name="_GoBack"/>
        <w:bookmarkEnd w:id="0"/>
      </w:tr>
      <w:tr w:rsidR="0061768F" w:rsidRPr="00C1547A" w:rsidTr="0061768F">
        <w:trPr>
          <w:trHeight w:val="263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Број часова активне наставе недељно током семестра/триместра/године</w:t>
            </w:r>
          </w:p>
        </w:tc>
      </w:tr>
      <w:tr w:rsidR="0061768F" w:rsidRPr="0061768F" w:rsidTr="0061768F">
        <w:trPr>
          <w:trHeight w:val="26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Вежбе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</w:rPr>
              <w:t>ДОН</w:t>
            </w: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Студијски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истраживачки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рад</w:t>
            </w:r>
            <w:proofErr w:type="spellEnd"/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Остали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часови</w:t>
            </w:r>
            <w:proofErr w:type="spellEnd"/>
          </w:p>
        </w:tc>
      </w:tr>
      <w:tr w:rsidR="0061768F" w:rsidRPr="0061768F" w:rsidTr="0061768F">
        <w:trPr>
          <w:trHeight w:val="263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lastRenderedPageBreak/>
              <w:t>2</w:t>
            </w: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2</w:t>
            </w: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6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45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C1547A" w:rsidTr="0061768F">
        <w:trPr>
          <w:trHeight w:val="810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99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Методе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извођења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наставе</w:t>
            </w:r>
            <w:proofErr w:type="spellEnd"/>
          </w:p>
        </w:tc>
        <w:tc>
          <w:tcPr>
            <w:tcW w:w="10916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  <w:lang w:val="ru-RU"/>
              </w:rPr>
              <w:t>Предавања. Дискусије у великим и малим групама.</w:t>
            </w:r>
          </w:p>
        </w:tc>
      </w:tr>
      <w:tr w:rsidR="0061768F" w:rsidRPr="00C1547A" w:rsidTr="0061768F">
        <w:trPr>
          <w:trHeight w:val="360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</w:pPr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  <w:lang w:val="ru-RU"/>
              </w:rPr>
              <w:t>Оцена знања (максимални број поена 100)</w:t>
            </w:r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Предиспитне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обавезе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Завршни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поена</w:t>
            </w:r>
            <w:proofErr w:type="spellEnd"/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активност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у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току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br/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предавања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писмени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практична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настава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усмени</w:t>
            </w:r>
            <w:proofErr w:type="spellEnd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 xml:space="preserve"> </w:t>
            </w: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испит</w:t>
            </w:r>
            <w:proofErr w:type="spellEnd"/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60</w:t>
            </w:r>
          </w:p>
        </w:tc>
      </w:tr>
      <w:tr w:rsidR="0061768F" w:rsidRPr="0061768F" w:rsidTr="0061768F">
        <w:trPr>
          <w:trHeight w:val="248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колоквијуми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  <w:r w:rsidRPr="0061768F">
              <w:rPr>
                <w:rFonts w:ascii="Arial" w:eastAsia="Times New Roman" w:hAnsi="Arial" w:cs="Arial"/>
                <w:sz w:val="20"/>
                <w:szCs w:val="20"/>
              </w:rPr>
              <w:t>20</w:t>
            </w: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CCFFCC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23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  <w:proofErr w:type="spellStart"/>
            <w:r w:rsidRPr="0061768F"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  <w:t>семинари</w:t>
            </w:r>
            <w:proofErr w:type="spellEnd"/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7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747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1244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000000" w:fill="FFCC99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  <w:tr w:rsidR="0061768F" w:rsidRPr="0061768F" w:rsidTr="0061768F">
        <w:trPr>
          <w:trHeight w:val="255"/>
        </w:trPr>
        <w:tc>
          <w:tcPr>
            <w:tcW w:w="15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4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6375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28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1768F" w:rsidRPr="0061768F" w:rsidRDefault="0061768F" w:rsidP="0061768F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</w:tr>
    </w:tbl>
    <w:p w:rsidR="00837D55" w:rsidRDefault="00E622B2" w:rsidP="0061768F"/>
    <w:sectPr w:rsidR="00837D55" w:rsidSect="00AC0C0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772EB"/>
    <w:rsid w:val="00026763"/>
    <w:rsid w:val="000A5FD2"/>
    <w:rsid w:val="001419C1"/>
    <w:rsid w:val="00354285"/>
    <w:rsid w:val="00411D99"/>
    <w:rsid w:val="0049245B"/>
    <w:rsid w:val="004F4950"/>
    <w:rsid w:val="005E220A"/>
    <w:rsid w:val="005E29C5"/>
    <w:rsid w:val="0061768F"/>
    <w:rsid w:val="0079541F"/>
    <w:rsid w:val="007C2981"/>
    <w:rsid w:val="00917D1C"/>
    <w:rsid w:val="00A2225C"/>
    <w:rsid w:val="00AC0C03"/>
    <w:rsid w:val="00C0386B"/>
    <w:rsid w:val="00C1547A"/>
    <w:rsid w:val="00C436F6"/>
    <w:rsid w:val="00C5674B"/>
    <w:rsid w:val="00C7378E"/>
    <w:rsid w:val="00C772EB"/>
    <w:rsid w:val="00E622B2"/>
    <w:rsid w:val="00E9190C"/>
    <w:rsid w:val="00F76997"/>
    <w:rsid w:val="00F777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6176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176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29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425</Words>
  <Characters>2423</Characters>
  <Application>Microsoft Office Word</Application>
  <DocSecurity>0</DocSecurity>
  <Lines>20</Lines>
  <Paragraphs>5</Paragraphs>
  <ScaleCrop>false</ScaleCrop>
  <Company/>
  <LinksUpToDate>false</LinksUpToDate>
  <CharactersWithSpaces>2843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jelen</dc:creator>
  <cp:keywords/>
  <dc:description/>
  <cp:lastModifiedBy>jelen</cp:lastModifiedBy>
  <cp:revision>4</cp:revision>
  <dcterms:created xsi:type="dcterms:W3CDTF">2022-10-17T22:52:00Z</dcterms:created>
  <dcterms:modified xsi:type="dcterms:W3CDTF">2022-10-18T15:11:00Z</dcterms:modified>
</cp:coreProperties>
</file>