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34" w:rsidRPr="00085D06" w:rsidRDefault="004B04D8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="001E1E34">
        <w:rPr>
          <w:rFonts w:ascii="Times New Roman" w:hAnsi="Times New Roman"/>
          <w:bCs/>
          <w:lang w:val="sr-Cyrl-CS"/>
        </w:rPr>
        <w:t xml:space="preserve"> </w:t>
      </w:r>
      <w:r w:rsidR="001E1E34" w:rsidRPr="00CA784F">
        <w:rPr>
          <w:rFonts w:ascii="Times New Roman" w:hAnsi="Times New Roman"/>
          <w:bCs/>
          <w:lang w:val="sr-Cyrl-CS"/>
        </w:rPr>
        <w:t>Спецификација предмета</w:t>
      </w:r>
      <w:r w:rsidR="001E1E34"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E41655" w:rsidRDefault="00FA4E8B" w:rsidP="00C9413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E4165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МАС</w:t>
            </w:r>
            <w:r w:rsidR="00E41655" w:rsidRPr="00E4165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C9413B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="00E41655" w:rsidRPr="00E4165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ревођење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E41655" w:rsidRDefault="00A12CDF" w:rsidP="00C9413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Стручно превођење</w:t>
            </w:r>
            <w:r w:rsidR="00C9413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1 ‒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руски језик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E41655" w:rsidRDefault="00C9413B" w:rsidP="004A0D6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Гинић Јелена, Радојчић Ружица,</w:t>
            </w:r>
            <w:r w:rsidR="00FA4E8B" w:rsidRPr="00E4165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Дајовић Владимир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E4165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C9413B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C9413B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Знање руског језика на нивоу најмање Ц1</w:t>
            </w:r>
            <w:r w:rsidR="0083480D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према Заједничком језичком оквиру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8F2B61" w:rsidRPr="008F2B61" w:rsidRDefault="00D34D18" w:rsidP="00D34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Упознавање</w:t>
            </w:r>
            <w:r w:rsidR="008F2B61">
              <w:rPr>
                <w:rFonts w:ascii="Times New Roman" w:hAnsi="Times New Roman"/>
                <w:bCs/>
                <w:sz w:val="20"/>
                <w:szCs w:val="20"/>
              </w:rPr>
              <w:t xml:space="preserve"> студената са основним појмовима и принципима опште теорије превођења кроз изучавање карактеристика и особености превођења различитих типова 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тручних текстова; </w:t>
            </w:r>
            <w:r w:rsidR="0004192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развијање</w:t>
            </w:r>
            <w:r w:rsidR="0004192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F2B61">
              <w:rPr>
                <w:rFonts w:ascii="Times New Roman" w:hAnsi="Times New Roman"/>
                <w:bCs/>
                <w:sz w:val="20"/>
                <w:szCs w:val="20"/>
              </w:rPr>
              <w:t xml:space="preserve">способности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решавања основних проблема писменогстручног превођења и технике превођења</w:t>
            </w:r>
            <w:r w:rsidR="0004192E">
              <w:rPr>
                <w:rFonts w:ascii="Times New Roman" w:hAnsi="Times New Roman"/>
                <w:bCs/>
                <w:sz w:val="20"/>
                <w:szCs w:val="20"/>
              </w:rPr>
              <w:t xml:space="preserve"> из области науке, економије, права, технике и сл. кроз упознавање </w:t>
            </w:r>
            <w:r w:rsidR="002D7C07">
              <w:rPr>
                <w:rFonts w:ascii="Times New Roman" w:hAnsi="Times New Roman"/>
                <w:bCs/>
                <w:sz w:val="20"/>
                <w:szCs w:val="20"/>
              </w:rPr>
              <w:t>са</w:t>
            </w:r>
            <w:bookmarkStart w:id="0" w:name="_GoBack"/>
            <w:bookmarkEnd w:id="0"/>
            <w:r w:rsidR="0004192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D7C07">
              <w:rPr>
                <w:rFonts w:ascii="Times New Roman" w:hAnsi="Times New Roman"/>
                <w:bCs/>
                <w:sz w:val="20"/>
                <w:szCs w:val="20"/>
              </w:rPr>
              <w:t>одређеним</w:t>
            </w:r>
            <w:r w:rsidR="0004192E">
              <w:rPr>
                <w:rFonts w:ascii="Times New Roman" w:hAnsi="Times New Roman"/>
                <w:bCs/>
                <w:sz w:val="20"/>
                <w:szCs w:val="20"/>
              </w:rPr>
              <w:t xml:space="preserve"> преводилачким приступима и стратегијама у зависности од типова текста и решавањем конкретних и градационо постављених преводилачких задатака на бази понуђеног материјала.</w:t>
            </w:r>
          </w:p>
          <w:p w:rsidR="001E1E34" w:rsidRPr="00092214" w:rsidRDefault="001E1E34" w:rsidP="006A07E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3D201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3D201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3D2018" w:rsidRDefault="000358FE" w:rsidP="003D20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Студент се оспособљава</w:t>
            </w:r>
            <w:r w:rsidR="008F2B61" w:rsidRPr="003D201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за </w:t>
            </w:r>
            <w:r w:rsidR="002D7C07" w:rsidRPr="003D201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решавање разноврсних преводилачких проблема</w:t>
            </w:r>
            <w:r w:rsidR="00733C5B" w:rsidRPr="003D2018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 </w:t>
            </w:r>
            <w:r w:rsidR="00733C5B" w:rsidRPr="003D2018">
              <w:rPr>
                <w:rFonts w:ascii="Times New Roman" w:hAnsi="Times New Roman"/>
                <w:bCs/>
                <w:sz w:val="20"/>
                <w:szCs w:val="20"/>
              </w:rPr>
              <w:t xml:space="preserve">кроз избор и примену одговарајућих преводилачких техника приликом превођења стручних текстова </w:t>
            </w:r>
            <w:r w:rsidR="0022065C" w:rsidRPr="003D2018">
              <w:rPr>
                <w:rFonts w:ascii="Times New Roman" w:hAnsi="Times New Roman"/>
                <w:bCs/>
                <w:sz w:val="20"/>
                <w:szCs w:val="20"/>
              </w:rPr>
              <w:t xml:space="preserve">општијег карактера </w:t>
            </w:r>
            <w:r w:rsidR="00733C5B" w:rsidRPr="003D2018">
              <w:rPr>
                <w:rFonts w:ascii="Times New Roman" w:hAnsi="Times New Roman"/>
                <w:bCs/>
                <w:sz w:val="20"/>
                <w:szCs w:val="20"/>
              </w:rPr>
              <w:t>са руског и на руски језик, уз критичку анал</w:t>
            </w:r>
            <w:r w:rsidR="003D2018" w:rsidRPr="003D2018">
              <w:rPr>
                <w:rFonts w:ascii="Times New Roman" w:hAnsi="Times New Roman"/>
                <w:bCs/>
                <w:sz w:val="20"/>
                <w:szCs w:val="20"/>
              </w:rPr>
              <w:t>изу сопствених и туђих превода</w:t>
            </w:r>
            <w:r w:rsidR="0022065C" w:rsidRPr="003D201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3D2018" w:rsidRPr="003D201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Студент уочава структуре различитих типова говора у српском језику и адекватно их уноси у руски језик.</w:t>
            </w:r>
          </w:p>
          <w:p w:rsidR="001E1E34" w:rsidRPr="003D201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FC7E9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FC7E9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3D7681" w:rsidRPr="00FC7E98" w:rsidRDefault="001E1E34" w:rsidP="003D768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FC7E98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4E070A" w:rsidRPr="00FC7E98" w:rsidRDefault="004E070A" w:rsidP="003D768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3D7681" w:rsidRPr="00FC7E98" w:rsidRDefault="004E070A" w:rsidP="004E07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 w:rsidR="003D7681"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>сврт на класификацију типова и основних карактеристика стручних текстова према области и тематици, уз презентацију типских језичких проблема код стручног превођења. Општи и детаљнији осврти уз конкретне примере према областима које су заступљене (</w:t>
            </w:r>
            <w:r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>друштвено-</w:t>
            </w:r>
            <w:r w:rsidR="003D7681"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>полити</w:t>
            </w:r>
            <w:r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>ч</w:t>
            </w:r>
            <w:r w:rsidR="003D7681"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>ка</w:t>
            </w:r>
            <w:r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сфера -   међународни односи, спољна политика; наука; медији;</w:t>
            </w:r>
            <w:r w:rsidR="003D7681"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друштвено-хуманистичке</w:t>
            </w:r>
            <w:r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>, техничке</w:t>
            </w:r>
            <w:r w:rsidR="003D7681"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природне науке), који би послужили као смернице </w:t>
            </w:r>
            <w:r w:rsidR="00B62C4E"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припремни рад </w:t>
            </w:r>
            <w:r w:rsidR="003D7681"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>за практични део наставе.</w:t>
            </w:r>
          </w:p>
          <w:p w:rsidR="003355C5" w:rsidRPr="00FC7E98" w:rsidRDefault="004E070A" w:rsidP="004E070A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FC7E98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Појам језик струке и стручног превођења.</w:t>
            </w:r>
            <w:r w:rsidRPr="00FC7E9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="003355C5" w:rsidRPr="00FC7E98">
              <w:rPr>
                <w:rFonts w:asciiTheme="majorBidi" w:hAnsiTheme="majorBidi" w:cstheme="majorBidi"/>
                <w:sz w:val="20"/>
                <w:szCs w:val="20"/>
                <w:lang w:val="sr-Cyrl-CS"/>
              </w:rPr>
              <w:t xml:space="preserve">Анотација (језички и говорни стандарди - клишеи у анотацијама). Сажетак  и резиме научног рада из часописа и зборника на материјалу руског језика струке. </w:t>
            </w:r>
          </w:p>
          <w:p w:rsidR="003355C5" w:rsidRPr="00FC7E98" w:rsidRDefault="003355C5" w:rsidP="004E070A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</w:pPr>
            <w:r w:rsidRPr="00FC7E98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Основне карактеристике терминологије.</w:t>
            </w:r>
            <w:r w:rsidRPr="00FC7E9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FC7E98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Монос</w:t>
            </w:r>
            <w:r w:rsidR="004E070A" w:rsidRPr="00FC7E98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емичност и полисемичност</w:t>
            </w:r>
            <w:r w:rsidRPr="00FC7E98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 xml:space="preserve"> терминолошке лексике. Синонимија, антонимија и хомонимија термина. Теорија превођења. Типови превода. Еквивалентност превода. Поступци превођења.</w:t>
            </w:r>
          </w:p>
          <w:p w:rsidR="00777754" w:rsidRPr="00FC7E98" w:rsidRDefault="00777754" w:rsidP="004E070A">
            <w:pPr>
              <w:jc w:val="both"/>
              <w:rPr>
                <w:rFonts w:asciiTheme="majorBidi" w:eastAsia="Times New Roman" w:hAnsiTheme="majorBidi" w:cstheme="majorBidi"/>
                <w:sz w:val="8"/>
                <w:szCs w:val="8"/>
                <w:lang w:val="ru-RU"/>
              </w:rPr>
            </w:pPr>
          </w:p>
          <w:p w:rsidR="00777754" w:rsidRPr="00FC7E98" w:rsidRDefault="00777754" w:rsidP="00777754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FC7E9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Тема 1: Лингвистичко и транслатолошко класификовање текстова, основне карактеристике различитих типова текста, преводилачки проблеми; информативна функција стручних текстова.</w:t>
            </w:r>
          </w:p>
          <w:p w:rsidR="00777754" w:rsidRPr="00FC7E98" w:rsidRDefault="00777754" w:rsidP="00777754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FC7E9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2: Специфичности превођења стручних текстова, етапе преводилачког процеса. Превођење термина и професионализама. </w:t>
            </w:r>
          </w:p>
          <w:p w:rsidR="00777754" w:rsidRPr="00FC7E98" w:rsidRDefault="00777754" w:rsidP="00777754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FC7E9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Превођење у области политике (дневна политика, избори, државно уређење и управа, спољна политика, међународни односи – дипломатија).</w:t>
            </w:r>
          </w:p>
          <w:p w:rsidR="00777754" w:rsidRPr="00FC7E98" w:rsidRDefault="00777754" w:rsidP="00FD32C1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FC7E9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3: Превођење у области друштвено-хуманистичких наука. Превођење </w:t>
            </w:r>
            <w:r w:rsidR="00FD32C1" w:rsidRPr="00FC7E9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у</w:t>
            </w:r>
            <w:r w:rsidRPr="00FC7E9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области права (основи права, уговори, правосуђе, истражни поступак и сл.); </w:t>
            </w:r>
          </w:p>
          <w:p w:rsidR="00777754" w:rsidRPr="00FC7E98" w:rsidRDefault="00777754" w:rsidP="00FD32C1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FC7E9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4: Превођење </w:t>
            </w:r>
            <w:r w:rsidR="00FD32C1" w:rsidRPr="00FC7E9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у</w:t>
            </w:r>
            <w:r w:rsidRPr="00FC7E9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области петрохемије. </w:t>
            </w:r>
          </w:p>
          <w:p w:rsidR="00777754" w:rsidRPr="00FC7E98" w:rsidRDefault="00777754" w:rsidP="00777754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FC7E9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Превођење и језик медија (електронски и штампани медији); ратно новинарство.</w:t>
            </w:r>
          </w:p>
          <w:p w:rsidR="00777754" w:rsidRPr="00FC7E98" w:rsidRDefault="0077775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777754" w:rsidRPr="00FC7E98" w:rsidRDefault="0077775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8"/>
                <w:szCs w:val="8"/>
                <w:lang w:val="sr-Cyrl-CS"/>
              </w:rPr>
            </w:pPr>
          </w:p>
          <w:p w:rsidR="001E1E34" w:rsidRPr="00FC7E9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FC7E98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3D7681" w:rsidRPr="00FC7E98" w:rsidRDefault="00B62C4E" w:rsidP="004E070A">
            <w:pPr>
              <w:tabs>
                <w:tab w:val="left" w:pos="567"/>
              </w:tabs>
              <w:spacing w:before="240"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Обрада текстова општијег карактера за сваку од представљених области уз анализу и упућивање студената на самосталан рад са конкретним стручним текстовима према задатку или сопственом избору, кроз припремне фазе за стручно превођење у одређеној области (упознавање и овладавање основним појмовима и терминима </w:t>
            </w:r>
            <w:r w:rsidR="004E070A"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>у вези са датом облашћу</w:t>
            </w:r>
            <w:r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на оба језика; коришћење помоћних ресу</w:t>
            </w:r>
            <w:r w:rsidR="004E070A"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>рса у виду штампаних и електронск</w:t>
            </w:r>
            <w:r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>их речника, глосара, појмовника, енциклопедија, извора на интернету, стварање сопствене „базе података“, језичко и лексичко прилагођавање предметној об</w:t>
            </w:r>
            <w:r w:rsidR="006A07EB"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>ласти</w:t>
            </w:r>
            <w:r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>)</w:t>
            </w:r>
            <w:r w:rsidR="006A07EB"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као </w:t>
            </w:r>
            <w:r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практич</w:t>
            </w:r>
            <w:r w:rsidR="004E070A"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>на примена</w:t>
            </w:r>
            <w:r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стечених вештина </w:t>
            </w:r>
            <w:r w:rsidR="006A07EB"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приликом писменог превођења, уз критичку </w:t>
            </w:r>
            <w:r w:rsidR="006A07EB"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процену остварених резултата.</w:t>
            </w:r>
          </w:p>
          <w:p w:rsidR="006B0E63" w:rsidRPr="00FC7E98" w:rsidRDefault="004E070A" w:rsidP="00FD32C1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C7E98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</w:t>
            </w:r>
            <w:r w:rsidR="006B0E63" w:rsidRPr="00FC7E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бласти: друштвени односи, економија, </w:t>
            </w:r>
            <w:r w:rsidRPr="00FC7E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финансије, </w:t>
            </w:r>
            <w:r w:rsidR="006B0E63" w:rsidRPr="00FC7E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право</w:t>
            </w:r>
            <w:r w:rsidR="006B0E63" w:rsidRPr="00FC7E98">
              <w:rPr>
                <w:rFonts w:ascii="Times New Roman" w:eastAsia="Times New Roman" w:hAnsi="Times New Roman"/>
                <w:sz w:val="20"/>
                <w:szCs w:val="20"/>
              </w:rPr>
              <w:t>, медицина, војнe науке, техника</w:t>
            </w:r>
            <w:r w:rsidR="006B0E63" w:rsidRPr="00FC7E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, природне науке и др.</w:t>
            </w:r>
            <w:r w:rsidR="006B0E63" w:rsidRPr="00FC7E9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B0E63" w:rsidRPr="00FC7E98">
              <w:rPr>
                <w:rFonts w:ascii="Times New Roman" w:hAnsi="Times New Roman"/>
                <w:sz w:val="20"/>
                <w:szCs w:val="20"/>
              </w:rPr>
              <w:t>Нивои еквивалентности у превођењу; врсте текстова и типови превођења; парафраза; адаптација; превођење нееквивалентне лексике; пермутације; додавање, одузимање, изостављање; превођење дефиниција; превођење термина; транслитерација и транскрипција; коришћење помоћне литературе при превођењу; основне кар</w:t>
            </w:r>
            <w:r w:rsidR="00FC7E98" w:rsidRPr="00FC7E98">
              <w:rPr>
                <w:rFonts w:ascii="Times New Roman" w:hAnsi="Times New Roman"/>
                <w:sz w:val="20"/>
                <w:szCs w:val="20"/>
              </w:rPr>
              <w:t>актеристике писменог превођења.</w:t>
            </w:r>
          </w:p>
          <w:p w:rsidR="001E1E34" w:rsidRPr="00FC7E98" w:rsidRDefault="001E1E34" w:rsidP="00FC7E9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FC7E9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C7E9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Литература </w:t>
            </w:r>
          </w:p>
          <w:p w:rsidR="003801D2" w:rsidRPr="00FC7E98" w:rsidRDefault="00361E39" w:rsidP="003801D2">
            <w:pPr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</w:pPr>
            <w:r w:rsidRPr="00FC7E98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 xml:space="preserve">1. </w:t>
            </w:r>
            <w:r w:rsidR="003801D2" w:rsidRPr="00FC7E98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Гринев-Гриневич С.В. Терминоведение. Москва, 2008.</w:t>
            </w:r>
          </w:p>
          <w:p w:rsidR="008F41B9" w:rsidRPr="00FC7E98" w:rsidRDefault="00361E39" w:rsidP="008F41B9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C7E9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2. </w:t>
            </w:r>
            <w:r w:rsidR="008F41B9" w:rsidRPr="00FC7E98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Кончаревић, </w:t>
            </w:r>
            <w:r w:rsidR="003801D2" w:rsidRPr="00FC7E9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К. </w:t>
            </w:r>
            <w:r w:rsidR="008F41B9" w:rsidRPr="00FC7E98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>Руски језик у теологији. Обликовање научног текста. Техника превођења. Београд,</w:t>
            </w:r>
            <w:r w:rsidR="003801D2" w:rsidRPr="00FC7E9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8F41B9" w:rsidRPr="00FC7E98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>2011.</w:t>
            </w:r>
          </w:p>
          <w:p w:rsidR="003801D2" w:rsidRPr="00FC7E98" w:rsidRDefault="00361E39" w:rsidP="003801D2">
            <w:pPr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</w:pPr>
            <w:r w:rsidRPr="00FC7E98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 xml:space="preserve">3. </w:t>
            </w:r>
            <w:r w:rsidR="003801D2" w:rsidRPr="00FC7E98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Паршин А. Теория и практика перевода. Санкт-Петербург, СГУ, 1999.</w:t>
            </w:r>
          </w:p>
          <w:p w:rsidR="004B04D8" w:rsidRPr="00FC7E98" w:rsidRDefault="00361E39" w:rsidP="003801D2">
            <w:pPr>
              <w:tabs>
                <w:tab w:val="left" w:pos="567"/>
              </w:tabs>
              <w:spacing w:after="60"/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ru-RU"/>
              </w:rPr>
            </w:pPr>
            <w:r w:rsidRPr="00FC7E9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ru-RU"/>
              </w:rPr>
              <w:t xml:space="preserve">4. </w:t>
            </w:r>
            <w:r w:rsidR="003801D2" w:rsidRPr="00FC7E9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ru-RU"/>
              </w:rPr>
              <w:t xml:space="preserve">Пипер, П., Петковић, М. </w:t>
            </w:r>
            <w:r w:rsidR="007374E8" w:rsidRPr="00FC7E98">
              <w:rPr>
                <w:rFonts w:asciiTheme="majorBidi" w:hAnsiTheme="majorBidi" w:cstheme="majorBidi"/>
                <w:i/>
                <w:iCs/>
                <w:sz w:val="20"/>
                <w:szCs w:val="20"/>
                <w:shd w:val="clear" w:color="auto" w:fill="FFFFFF"/>
                <w:lang w:val="ru-RU"/>
              </w:rPr>
              <w:t>Техника превођења: приручник за руски језик</w:t>
            </w:r>
            <w:r w:rsidR="003801D2" w:rsidRPr="00FC7E9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ru-RU"/>
              </w:rPr>
              <w:t>. Београд:</w:t>
            </w:r>
            <w:r w:rsidR="007374E8" w:rsidRPr="00FC7E9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ru-RU"/>
              </w:rPr>
              <w:t xml:space="preserve"> Завод за издавање уџбеника, 1990. – 134 стр. </w:t>
            </w:r>
          </w:p>
          <w:p w:rsidR="00361E39" w:rsidRPr="00FC7E98" w:rsidRDefault="00361E39" w:rsidP="003801D2">
            <w:pPr>
              <w:tabs>
                <w:tab w:val="left" w:pos="567"/>
              </w:tabs>
              <w:spacing w:after="60"/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FC7E9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ru-RU"/>
              </w:rPr>
              <w:t>5. Електронски стручни речници</w:t>
            </w:r>
            <w:r w:rsidR="000B19D1" w:rsidRPr="00FC7E9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r w:rsidR="000B19D1" w:rsidRPr="00FC7E9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нпр.</w:t>
            </w:r>
          </w:p>
          <w:p w:rsidR="00361E39" w:rsidRPr="00FC7E98" w:rsidRDefault="0083480D" w:rsidP="000B19D1">
            <w:pPr>
              <w:tabs>
                <w:tab w:val="left" w:pos="567"/>
              </w:tabs>
              <w:spacing w:after="60"/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hyperlink r:id="rId6" w:history="1"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http</w:t>
              </w:r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  <w:lang w:val="sr-Latn-RS"/>
                </w:rPr>
                <w:t>://</w:t>
              </w:r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glossary</w:t>
              </w:r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</w:rPr>
                <w:t>-</w:t>
              </w:r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of</w:t>
              </w:r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</w:rPr>
                <w:t>-</w:t>
              </w:r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terms</w:t>
              </w:r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</w:rPr>
                <w:t>/?</w:t>
              </w:r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do</w:t>
              </w:r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</w:rPr>
                <w:t>=</w:t>
              </w:r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g</w:t>
              </w:r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</w:rPr>
                <w:t>&amp;</w:t>
              </w:r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v</w:t>
              </w:r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</w:rPr>
                <w:t>=278</w:t>
              </w:r>
            </w:hyperlink>
          </w:p>
          <w:p w:rsidR="000B19D1" w:rsidRPr="00FC7E98" w:rsidRDefault="0083480D" w:rsidP="000B19D1">
            <w:pPr>
              <w:tabs>
                <w:tab w:val="left" w:pos="567"/>
              </w:tabs>
              <w:spacing w:after="60"/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hyperlink r:id="rId7" w:history="1"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http</w:t>
              </w:r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</w:rPr>
                <w:t>://</w:t>
              </w:r>
              <w:proofErr w:type="spellStart"/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niv</w:t>
              </w:r>
              <w:proofErr w:type="spellEnd"/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</w:rPr>
                <w:t>/</w:t>
              </w:r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doc</w:t>
              </w:r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</w:rPr>
                <w:t>/</w:t>
              </w:r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dictionary</w:t>
              </w:r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</w:rPr>
                <w:t>/</w:t>
              </w:r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political</w:t>
              </w:r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</w:rPr>
                <w:t>-</w:t>
              </w:r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terms</w:t>
              </w:r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</w:rPr>
                <w:t>/</w:t>
              </w:r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index</w:t>
              </w:r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0B19D1" w:rsidRPr="00FC7E9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htm</w:t>
              </w:r>
              <w:proofErr w:type="spellEnd"/>
            </w:hyperlink>
            <w:r w:rsidR="000B19D1" w:rsidRPr="00FC7E9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E1E34" w:rsidRPr="00FC7E9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A12CD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A12CDF" w:rsidRPr="00A12CD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A12CD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A12CDF" w:rsidRPr="00A12CD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Pr="00FC7E98" w:rsidRDefault="007374E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C7E98">
              <w:rPr>
                <w:rFonts w:ascii="Times New Roman" w:hAnsi="Times New Roman"/>
                <w:sz w:val="20"/>
                <w:szCs w:val="20"/>
                <w:lang w:val="ru-RU"/>
              </w:rPr>
              <w:t>вербално-текстуалне, визуелно-текстуалне, текстуалне, демонстративне</w:t>
            </w:r>
            <w:r w:rsidR="003D2018" w:rsidRPr="00FC7E98">
              <w:rPr>
                <w:rFonts w:ascii="Times New Roman" w:hAnsi="Times New Roman"/>
                <w:sz w:val="20"/>
                <w:szCs w:val="20"/>
                <w:lang w:val="ru-RU"/>
              </w:rPr>
              <w:t>, дискусија, интерактивна настава, самостални рад.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22065C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FC7E9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  <w:r w:rsidR="0022065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FC7E98" w:rsidRDefault="0022065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FC7E9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FC7E9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FC7E98" w:rsidRDefault="0022065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FC7E9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30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FC7E98" w:rsidRDefault="0022065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FC7E9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FC7E9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</w:t>
            </w:r>
            <w:r w:rsidR="00FC7E98"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Pr="00FC7E98">
              <w:rPr>
                <w:rFonts w:ascii="Times New Roman" w:hAnsi="Times New Roman"/>
                <w:sz w:val="20"/>
                <w:szCs w:val="20"/>
                <w:lang w:val="sr-Cyrl-CS"/>
              </w:rPr>
              <w:t>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FC7E98" w:rsidRDefault="0022065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FC7E9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30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FC7E98" w:rsidRDefault="0022065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FC7E9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FC7E9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FC7E98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FC7E9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FC7E98" w:rsidRDefault="0022065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FC7E9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FC7E9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FC7E9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1E1E34" w:rsidRDefault="001E1E34" w:rsidP="001E1E34">
      <w:pPr>
        <w:jc w:val="center"/>
        <w:rPr>
          <w:rFonts w:ascii="Times New Roman" w:hAnsi="Times New Roman"/>
          <w:bCs/>
        </w:rPr>
      </w:pPr>
    </w:p>
    <w:p w:rsidR="00837D55" w:rsidRDefault="0083480D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501"/>
    <w:multiLevelType w:val="hybridMultilevel"/>
    <w:tmpl w:val="5F302EBC"/>
    <w:lvl w:ilvl="0" w:tplc="779AD4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358FE"/>
    <w:rsid w:val="0004192E"/>
    <w:rsid w:val="000A5FD2"/>
    <w:rsid w:val="000B19D1"/>
    <w:rsid w:val="001419C1"/>
    <w:rsid w:val="001E1E34"/>
    <w:rsid w:val="0022065C"/>
    <w:rsid w:val="002D7C07"/>
    <w:rsid w:val="003355C5"/>
    <w:rsid w:val="00354285"/>
    <w:rsid w:val="00361E39"/>
    <w:rsid w:val="003801D2"/>
    <w:rsid w:val="003D2018"/>
    <w:rsid w:val="003D7681"/>
    <w:rsid w:val="00411D99"/>
    <w:rsid w:val="00471C45"/>
    <w:rsid w:val="00477A7B"/>
    <w:rsid w:val="0049245B"/>
    <w:rsid w:val="004A0D62"/>
    <w:rsid w:val="004B04D8"/>
    <w:rsid w:val="004E070A"/>
    <w:rsid w:val="004F4950"/>
    <w:rsid w:val="005E220A"/>
    <w:rsid w:val="005E29C5"/>
    <w:rsid w:val="006A07EB"/>
    <w:rsid w:val="006B0E63"/>
    <w:rsid w:val="00733C5B"/>
    <w:rsid w:val="007374E8"/>
    <w:rsid w:val="00777754"/>
    <w:rsid w:val="0079541F"/>
    <w:rsid w:val="007C2981"/>
    <w:rsid w:val="0083480D"/>
    <w:rsid w:val="00854651"/>
    <w:rsid w:val="008F2B61"/>
    <w:rsid w:val="008F41B9"/>
    <w:rsid w:val="00917D1C"/>
    <w:rsid w:val="00A12CDF"/>
    <w:rsid w:val="00A2225C"/>
    <w:rsid w:val="00AC0C03"/>
    <w:rsid w:val="00B15412"/>
    <w:rsid w:val="00B62C4E"/>
    <w:rsid w:val="00B92EFD"/>
    <w:rsid w:val="00C0386B"/>
    <w:rsid w:val="00C436F6"/>
    <w:rsid w:val="00C5674B"/>
    <w:rsid w:val="00C7378E"/>
    <w:rsid w:val="00C9413B"/>
    <w:rsid w:val="00D10316"/>
    <w:rsid w:val="00D34D18"/>
    <w:rsid w:val="00DA4E40"/>
    <w:rsid w:val="00E41655"/>
    <w:rsid w:val="00E9190C"/>
    <w:rsid w:val="00EA7534"/>
    <w:rsid w:val="00F76997"/>
    <w:rsid w:val="00F77767"/>
    <w:rsid w:val="00FA4E8B"/>
    <w:rsid w:val="00FC7E98"/>
    <w:rsid w:val="00FD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6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9D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6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9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iv.ru/doc/dictionary/political-terms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lossary-of-terms.ru/?do=g&amp;v=27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jelen</cp:lastModifiedBy>
  <cp:revision>7</cp:revision>
  <dcterms:created xsi:type="dcterms:W3CDTF">2022-09-09T07:27:00Z</dcterms:created>
  <dcterms:modified xsi:type="dcterms:W3CDTF">2022-09-29T18:29:00Z</dcterms:modified>
</cp:coreProperties>
</file>