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737" w:rsidRPr="00085D06" w:rsidRDefault="00A83737" w:rsidP="008D1DC7">
      <w:pPr>
        <w:jc w:val="center"/>
        <w:rPr>
          <w:rFonts w:ascii="Times New Roman" w:hAnsi="Times New Roman"/>
          <w:bCs/>
          <w:lang w:val="ru-RU"/>
        </w:rPr>
      </w:pP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</w:p>
    <w:p w:rsidR="00A83737" w:rsidRPr="00092214" w:rsidRDefault="00A83737" w:rsidP="008D1DC7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A83737" w:rsidRPr="00092214" w:rsidTr="00376DFF">
        <w:trPr>
          <w:trHeight w:val="227"/>
          <w:jc w:val="center"/>
        </w:trPr>
        <w:tc>
          <w:tcPr>
            <w:tcW w:w="2676" w:type="dxa"/>
            <w:vAlign w:val="center"/>
          </w:tcPr>
          <w:p w:rsidR="00A83737" w:rsidRPr="00092214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програм:</w:t>
            </w:r>
          </w:p>
        </w:tc>
        <w:tc>
          <w:tcPr>
            <w:tcW w:w="6458" w:type="dxa"/>
            <w:gridSpan w:val="5"/>
            <w:vAlign w:val="center"/>
          </w:tcPr>
          <w:p w:rsidR="00A83737" w:rsidRPr="00BF4112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МАС Превођење</w:t>
            </w:r>
          </w:p>
        </w:tc>
      </w:tr>
      <w:tr w:rsidR="00A83737" w:rsidRPr="00092214" w:rsidTr="00376DFF">
        <w:trPr>
          <w:trHeight w:val="227"/>
          <w:jc w:val="center"/>
        </w:trPr>
        <w:tc>
          <w:tcPr>
            <w:tcW w:w="2676" w:type="dxa"/>
            <w:vAlign w:val="center"/>
          </w:tcPr>
          <w:p w:rsidR="00A83737" w:rsidRPr="00092214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:rsidR="00A83737" w:rsidRPr="00092214" w:rsidRDefault="00F31BAE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Стручно</w:t>
            </w:r>
            <w:r w:rsidR="00A83737" w:rsidRPr="00BF411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превођење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са елементима усменог превођења </w:t>
            </w:r>
            <w:r w:rsidR="00A83737" w:rsidRPr="00BF4112">
              <w:rPr>
                <w:rFonts w:ascii="Times New Roman" w:hAnsi="Times New Roman"/>
                <w:sz w:val="20"/>
                <w:szCs w:val="20"/>
                <w:lang w:val="sr-Cyrl-CS"/>
              </w:rPr>
              <w:t>1 ‒ украјински језик</w:t>
            </w:r>
          </w:p>
        </w:tc>
      </w:tr>
      <w:tr w:rsidR="00A83737" w:rsidRPr="00092214" w:rsidTr="00376DFF">
        <w:trPr>
          <w:trHeight w:val="227"/>
          <w:jc w:val="center"/>
        </w:trPr>
        <w:tc>
          <w:tcPr>
            <w:tcW w:w="2676" w:type="dxa"/>
            <w:vAlign w:val="center"/>
          </w:tcPr>
          <w:p w:rsidR="00A83737" w:rsidRPr="00092214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:rsidR="00A83737" w:rsidRPr="001D24E4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Тања Гаев</w:t>
            </w:r>
            <w:r w:rsidR="00F31BAE">
              <w:rPr>
                <w:rFonts w:ascii="Times New Roman" w:hAnsi="Times New Roman"/>
                <w:bCs/>
                <w:sz w:val="20"/>
                <w:szCs w:val="20"/>
              </w:rPr>
              <w:t>, Милена Ивановић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; сарадник: Анастасија Тепшић</w:t>
            </w:r>
          </w:p>
        </w:tc>
      </w:tr>
      <w:tr w:rsidR="00A83737" w:rsidRPr="00092214" w:rsidTr="00376DFF">
        <w:trPr>
          <w:trHeight w:val="227"/>
          <w:jc w:val="center"/>
        </w:trPr>
        <w:tc>
          <w:tcPr>
            <w:tcW w:w="2676" w:type="dxa"/>
            <w:vAlign w:val="center"/>
          </w:tcPr>
          <w:p w:rsidR="00A83737" w:rsidRPr="00092214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:rsidR="00A83737" w:rsidRPr="00092214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A83737" w:rsidRPr="00092214" w:rsidTr="00376DFF">
        <w:trPr>
          <w:trHeight w:val="227"/>
          <w:jc w:val="center"/>
        </w:trPr>
        <w:tc>
          <w:tcPr>
            <w:tcW w:w="2676" w:type="dxa"/>
            <w:vAlign w:val="center"/>
          </w:tcPr>
          <w:p w:rsidR="00A83737" w:rsidRPr="00092214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:rsidR="00A83737" w:rsidRPr="00092214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A83737" w:rsidRPr="00092214" w:rsidTr="00376DFF">
        <w:trPr>
          <w:trHeight w:val="227"/>
          <w:jc w:val="center"/>
        </w:trPr>
        <w:tc>
          <w:tcPr>
            <w:tcW w:w="2676" w:type="dxa"/>
            <w:vAlign w:val="center"/>
          </w:tcPr>
          <w:p w:rsidR="00A83737" w:rsidRPr="00092214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:rsidR="00A83737" w:rsidRPr="00092214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Завршен Филолошки факултет, студијски програм ЈКК, студијски профил: Украјински језик, књижевност, култура; остали заинтер</w:t>
            </w:r>
            <w:r w:rsidR="00F31BAE">
              <w:rPr>
                <w:rFonts w:ascii="Times New Roman" w:hAnsi="Times New Roman"/>
                <w:sz w:val="20"/>
                <w:szCs w:val="20"/>
                <w:lang w:val="sr-Cyrl-CS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совани полажу тест знања из украјинског језика. </w:t>
            </w:r>
          </w:p>
        </w:tc>
      </w:tr>
      <w:tr w:rsidR="00A83737" w:rsidRPr="00092214" w:rsidTr="00376DFF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A83737" w:rsidRPr="00954E22" w:rsidRDefault="00A83737" w:rsidP="008D1DC7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954E22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:rsidR="00A83737" w:rsidRPr="00F31BAE" w:rsidRDefault="00FE5C70" w:rsidP="00FE5C70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val="sr-Cyrl-CS"/>
              </w:rPr>
            </w:pPr>
            <w:r w:rsidRPr="006C6F90">
              <w:rPr>
                <w:rFonts w:ascii="Times New Roman" w:hAnsi="Times New Roman"/>
                <w:sz w:val="20"/>
                <w:szCs w:val="20"/>
              </w:rPr>
              <w:t>Упознавање студената са основним појмовима и категоријама опште теорије превођења,  са карактеристикама транслатолошких типова текста и особеностима њиховог превођења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C6F90">
              <w:rPr>
                <w:rFonts w:ascii="Times New Roman" w:hAnsi="Times New Roman"/>
                <w:sz w:val="20"/>
                <w:szCs w:val="20"/>
              </w:rPr>
              <w:t xml:space="preserve">специфичностима </w:t>
            </w:r>
            <w:r>
              <w:rPr>
                <w:rFonts w:ascii="Times New Roman" w:hAnsi="Times New Roman"/>
                <w:sz w:val="20"/>
                <w:szCs w:val="20"/>
              </w:rPr>
              <w:t>превођења стручних текстова</w:t>
            </w:r>
            <w:r w:rsidRPr="006C6F9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C34738">
              <w:rPr>
                <w:rFonts w:ascii="Times New Roman" w:hAnsi="Times New Roman"/>
                <w:sz w:val="20"/>
                <w:szCs w:val="20"/>
              </w:rPr>
              <w:t>Развијање</w:t>
            </w:r>
            <w:r w:rsidR="004D48A4">
              <w:rPr>
                <w:rFonts w:ascii="Times New Roman" w:hAnsi="Times New Roman"/>
                <w:sz w:val="20"/>
                <w:szCs w:val="20"/>
              </w:rPr>
              <w:t xml:space="preserve"> способност</w:t>
            </w:r>
            <w:r w:rsidR="00C34738">
              <w:rPr>
                <w:rFonts w:ascii="Times New Roman" w:hAnsi="Times New Roman"/>
                <w:sz w:val="20"/>
                <w:szCs w:val="20"/>
              </w:rPr>
              <w:t>и</w:t>
            </w:r>
            <w:r w:rsidR="004D48A4">
              <w:rPr>
                <w:rFonts w:ascii="Times New Roman" w:hAnsi="Times New Roman"/>
                <w:sz w:val="20"/>
                <w:szCs w:val="20"/>
              </w:rPr>
              <w:t xml:space="preserve"> препознавања, разумевања и решавања основних практичних проблема писменог превођења преко превођења стручних текстова из области права, економије, политике, технике, науке. </w:t>
            </w:r>
            <w:r w:rsidR="00C34738">
              <w:rPr>
                <w:rFonts w:ascii="Times New Roman" w:hAnsi="Times New Roman"/>
                <w:sz w:val="20"/>
                <w:szCs w:val="20"/>
              </w:rPr>
              <w:t xml:space="preserve">Развијање способности </w:t>
            </w:r>
            <w:r w:rsidR="004D48A4">
              <w:rPr>
                <w:rFonts w:ascii="Times New Roman" w:hAnsi="Times New Roman"/>
                <w:sz w:val="20"/>
                <w:szCs w:val="20"/>
              </w:rPr>
              <w:t>решава</w:t>
            </w:r>
            <w:r w:rsidR="00C34738">
              <w:rPr>
                <w:rFonts w:ascii="Times New Roman" w:hAnsi="Times New Roman"/>
                <w:sz w:val="20"/>
                <w:szCs w:val="20"/>
              </w:rPr>
              <w:t>ња различитих проблема</w:t>
            </w:r>
            <w:r w:rsidR="004D48A4">
              <w:rPr>
                <w:rFonts w:ascii="Times New Roman" w:hAnsi="Times New Roman"/>
                <w:sz w:val="20"/>
                <w:szCs w:val="20"/>
              </w:rPr>
              <w:t xml:space="preserve"> који настају као последица постојања различитих типова еквиваленције на синтаксичком, семантичком и прагматичком нивоу. </w:t>
            </w:r>
            <w:r w:rsidR="00C34738">
              <w:rPr>
                <w:rFonts w:ascii="Times New Roman" w:hAnsi="Times New Roman"/>
                <w:sz w:val="20"/>
                <w:szCs w:val="20"/>
              </w:rPr>
              <w:t>Упознавање са различитим преводилачким</w:t>
            </w:r>
            <w:r w:rsidR="004D48A4">
              <w:rPr>
                <w:rFonts w:ascii="Times New Roman" w:hAnsi="Times New Roman"/>
                <w:sz w:val="20"/>
                <w:szCs w:val="20"/>
              </w:rPr>
              <w:t xml:space="preserve"> стратегија</w:t>
            </w:r>
            <w:r w:rsidR="00C34738">
              <w:rPr>
                <w:rFonts w:ascii="Times New Roman" w:hAnsi="Times New Roman"/>
                <w:sz w:val="20"/>
                <w:szCs w:val="20"/>
              </w:rPr>
              <w:t>ма, поступцима и техникама у стручном превођењу. Ра</w:t>
            </w:r>
            <w:r w:rsidR="004D48A4">
              <w:rPr>
                <w:rFonts w:ascii="Times New Roman" w:hAnsi="Times New Roman"/>
                <w:sz w:val="20"/>
                <w:szCs w:val="20"/>
              </w:rPr>
              <w:t>звија</w:t>
            </w:r>
            <w:r w:rsidR="00C34738">
              <w:rPr>
                <w:rFonts w:ascii="Times New Roman" w:hAnsi="Times New Roman"/>
                <w:sz w:val="20"/>
                <w:szCs w:val="20"/>
              </w:rPr>
              <w:t>ње критичког</w:t>
            </w:r>
            <w:r w:rsidR="004D48A4">
              <w:rPr>
                <w:rFonts w:ascii="Times New Roman" w:hAnsi="Times New Roman"/>
                <w:sz w:val="20"/>
                <w:szCs w:val="20"/>
              </w:rPr>
              <w:t xml:space="preserve"> однос</w:t>
            </w:r>
            <w:r w:rsidR="00C34738">
              <w:rPr>
                <w:rFonts w:ascii="Times New Roman" w:hAnsi="Times New Roman"/>
                <w:sz w:val="20"/>
                <w:szCs w:val="20"/>
              </w:rPr>
              <w:t>а</w:t>
            </w:r>
            <w:r w:rsidR="004D48A4">
              <w:rPr>
                <w:rFonts w:ascii="Times New Roman" w:hAnsi="Times New Roman"/>
                <w:sz w:val="20"/>
                <w:szCs w:val="20"/>
              </w:rPr>
              <w:t xml:space="preserve"> према сопственом и туђем преводу и способност</w:t>
            </w:r>
            <w:r w:rsidR="00C34738">
              <w:rPr>
                <w:rFonts w:ascii="Times New Roman" w:hAnsi="Times New Roman"/>
                <w:sz w:val="20"/>
                <w:szCs w:val="20"/>
              </w:rPr>
              <w:t>и</w:t>
            </w:r>
            <w:r w:rsidR="004D48A4">
              <w:rPr>
                <w:rFonts w:ascii="Times New Roman" w:hAnsi="Times New Roman"/>
                <w:sz w:val="20"/>
                <w:szCs w:val="20"/>
              </w:rPr>
              <w:t xml:space="preserve"> аргументованог </w:t>
            </w:r>
            <w:r w:rsidR="00D85387">
              <w:rPr>
                <w:rFonts w:ascii="Times New Roman" w:hAnsi="Times New Roman"/>
                <w:sz w:val="20"/>
                <w:szCs w:val="20"/>
              </w:rPr>
              <w:t>обрзложења</w:t>
            </w:r>
            <w:r w:rsidR="004D48A4">
              <w:rPr>
                <w:rFonts w:ascii="Times New Roman" w:hAnsi="Times New Roman"/>
                <w:sz w:val="20"/>
                <w:szCs w:val="20"/>
              </w:rPr>
              <w:t xml:space="preserve"> критичког става. </w:t>
            </w:r>
            <w:r w:rsidR="00A83737" w:rsidRPr="00954E22">
              <w:rPr>
                <w:rFonts w:ascii="Times New Roman" w:hAnsi="Times New Roman"/>
                <w:sz w:val="20"/>
                <w:szCs w:val="20"/>
              </w:rPr>
              <w:t xml:space="preserve">Упознавање студената са </w:t>
            </w:r>
            <w:r w:rsidR="00845C9C" w:rsidRPr="00954E22">
              <w:rPr>
                <w:rFonts w:ascii="Times New Roman" w:hAnsi="Times New Roman"/>
                <w:sz w:val="20"/>
                <w:szCs w:val="20"/>
              </w:rPr>
              <w:t>општим принципима консекутивног превођења</w:t>
            </w:r>
            <w:r w:rsidR="000E2643" w:rsidRPr="00954E22">
              <w:rPr>
                <w:rFonts w:ascii="Times New Roman" w:hAnsi="Times New Roman"/>
                <w:sz w:val="20"/>
                <w:szCs w:val="20"/>
              </w:rPr>
              <w:t>, увођење у основне</w:t>
            </w:r>
            <w:r w:rsidR="00594667">
              <w:rPr>
                <w:rFonts w:ascii="Times New Roman" w:hAnsi="Times New Roman"/>
                <w:sz w:val="20"/>
                <w:szCs w:val="20"/>
                <w:lang w:val="sr-Latn-RS"/>
              </w:rPr>
              <w:t xml:space="preserve"> </w:t>
            </w:r>
            <w:r w:rsidR="00C16F79">
              <w:rPr>
                <w:rFonts w:ascii="Times New Roman" w:hAnsi="Times New Roman"/>
                <w:sz w:val="20"/>
                <w:szCs w:val="20"/>
              </w:rPr>
              <w:t>и напредније</w:t>
            </w:r>
            <w:r w:rsidR="000E2643" w:rsidRPr="00954E22">
              <w:rPr>
                <w:rFonts w:ascii="Times New Roman" w:hAnsi="Times New Roman"/>
                <w:sz w:val="20"/>
                <w:szCs w:val="20"/>
              </w:rPr>
              <w:t xml:space="preserve"> вештине кроз преводилачке задатке, стицање </w:t>
            </w:r>
            <w:r w:rsidR="00C16F79">
              <w:rPr>
                <w:rFonts w:ascii="Times New Roman" w:hAnsi="Times New Roman"/>
                <w:sz w:val="20"/>
                <w:szCs w:val="20"/>
              </w:rPr>
              <w:t xml:space="preserve">извесног </w:t>
            </w:r>
            <w:r w:rsidR="000E2643" w:rsidRPr="00954E22">
              <w:rPr>
                <w:rFonts w:ascii="Times New Roman" w:hAnsi="Times New Roman"/>
                <w:sz w:val="20"/>
                <w:szCs w:val="20"/>
              </w:rPr>
              <w:t>искуства вежбањем консекутивног превођења, превођење са листа</w:t>
            </w:r>
            <w:r w:rsidR="00C16F79">
              <w:rPr>
                <w:rFonts w:ascii="Times New Roman" w:hAnsi="Times New Roman"/>
                <w:sz w:val="20"/>
                <w:szCs w:val="20"/>
              </w:rPr>
              <w:t>, припрема за сложене преводилачке задатке.</w:t>
            </w:r>
            <w:r w:rsidR="00A83737" w:rsidRPr="00F31BA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A83737" w:rsidRPr="00092214" w:rsidTr="00376DFF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A83737" w:rsidRPr="00092214" w:rsidRDefault="00A83737" w:rsidP="008D1DC7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:rsidR="00A83737" w:rsidRPr="00092214" w:rsidRDefault="00A83737" w:rsidP="00FE5C70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Студент </w:t>
            </w:r>
            <w:r w:rsidR="00C3473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је способан да </w:t>
            </w:r>
            <w:r w:rsidR="004D48A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анализира велики број различитих типова текста и </w:t>
            </w:r>
            <w:r w:rsidR="00C3473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преведе</w:t>
            </w:r>
            <w:r w:rsidR="004D48A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их</w:t>
            </w:r>
            <w:r w:rsidR="00C3473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са украјинског</w:t>
            </w:r>
            <w:r w:rsidR="004D48A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на</w:t>
            </w:r>
            <w:r w:rsidR="00C3473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српски и са српског на</w:t>
            </w:r>
            <w:r w:rsidR="004D48A4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 украјински језик, решава преводилачке проблеме користећи одговарајуће преводилачке технике и стратегије, критички процењује адекватност примењених преводилачких техника у сопственом преводу и у преводима других преводилаца. Студент </w:t>
            </w:r>
            <w:r w:rsidR="000E264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уочава структуре различитих типова говора у српском језику и адекватно их преноси у украјински језик, уме адекватно, у погледу значења и језичког регистра, не нарушавајући значење и кохезију говора/текста, без вођења бележака или са њим, </w:t>
            </w:r>
            <w:r w:rsidR="00C509A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да </w:t>
            </w:r>
            <w:r w:rsidR="000E264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пренесе смисао једноставнијег говора.  </w:t>
            </w:r>
          </w:p>
        </w:tc>
      </w:tr>
      <w:tr w:rsidR="00A83737" w:rsidRPr="00092214" w:rsidTr="00376DFF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A83737" w:rsidRPr="00092214" w:rsidRDefault="00A83737" w:rsidP="008D1DC7">
            <w:pPr>
              <w:tabs>
                <w:tab w:val="left" w:pos="567"/>
              </w:tabs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:rsidR="00A83737" w:rsidRPr="00092214" w:rsidRDefault="00A83737" w:rsidP="008D1DC7">
            <w:pPr>
              <w:tabs>
                <w:tab w:val="left" w:pos="567"/>
              </w:tabs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:rsidR="00E92141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 w:rsidRPr="009761D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Тема 1: </w:t>
            </w:r>
            <w:r w:rsidR="00E92141" w:rsidRPr="00E9214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Лингвистичка и транслатолошка класификација типова текста, основне карактеристике различитих типова текста и преводилачки проблеми повезани са њима</w:t>
            </w:r>
            <w:r w:rsidR="00E9214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; информативна функција стручних текстова и важност њеног преношења, елементи оперативних информација у стручним текстовима и начини њиховог преношења.</w:t>
            </w:r>
          </w:p>
          <w:p w:rsidR="007D35DC" w:rsidRDefault="007D35DC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Тема 2: </w:t>
            </w:r>
            <w:r w:rsidRPr="007D35D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Специфичности превођења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стручних текстова, </w:t>
            </w:r>
            <w:r w:rsidRPr="007D35D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етапе преводилачког процеса, предпреводна анализа 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стручног</w:t>
            </w:r>
            <w:r w:rsidRPr="007D35D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текста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. Језички проблеми стручног превођења: преводилачке трансформације. Превођење термина и професионализама. Преношење властитих имена. </w:t>
            </w:r>
          </w:p>
          <w:p w:rsidR="007D35DC" w:rsidRDefault="00E92141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Тема </w:t>
            </w:r>
            <w:r w:rsidR="007D35D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3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: </w:t>
            </w:r>
            <w:r w:rsidR="004D48A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</w:t>
            </w:r>
            <w:r w:rsidR="007D35D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ревођење у области п</w:t>
            </w:r>
            <w:r w:rsidR="004D48A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олитик</w:t>
            </w:r>
            <w:r w:rsidR="007D35D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е</w:t>
            </w:r>
            <w:r w:rsidR="004D48A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(дневна политика, међународна политика, избори, дипломатија, државно уређење, </w:t>
            </w:r>
            <w:r w:rsidR="007D35D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државна управа); културе</w:t>
            </w:r>
            <w:r w:rsidR="004D48A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, уметност</w:t>
            </w:r>
            <w:r w:rsidR="007D35D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и</w:t>
            </w:r>
            <w:r w:rsidR="004D48A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, образовањ</w:t>
            </w:r>
            <w:r w:rsidR="007D35D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а, друштвено-хуманистичких наука.</w:t>
            </w:r>
          </w:p>
          <w:p w:rsidR="004D48A4" w:rsidRDefault="007D35DC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Тема 4: Превођење и</w:t>
            </w:r>
            <w:r w:rsidR="004D48A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језик медија 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(електронски и штампани медији)</w:t>
            </w:r>
            <w:r w:rsidR="00266D5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; превођење информативних публицистичких текстова, превођење колумни</w:t>
            </w:r>
            <w:r w:rsidR="00921380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.</w:t>
            </w:r>
          </w:p>
          <w:p w:rsidR="00266D5C" w:rsidRDefault="00E92141" w:rsidP="00C16F79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Тема </w:t>
            </w:r>
            <w:r w:rsidR="00266D5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5</w:t>
            </w:r>
            <w:r w:rsidR="004D48A4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. </w:t>
            </w:r>
            <w:r w:rsidR="00266D5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У</w:t>
            </w:r>
            <w:r w:rsidR="000E264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вод у технике консекутивног превођења. </w:t>
            </w:r>
            <w:r w:rsidR="00266D5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</w:t>
            </w:r>
            <w:r w:rsidR="00C16F79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ревод с листа, превод дијалога између два саговорника у оба смера, краћих говора без вођења бележака (5-6 минута), савладавање технике вођења бележака.</w:t>
            </w:r>
            <w:r w:rsidR="00266D5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</w:p>
          <w:p w:rsidR="00C16F79" w:rsidRDefault="00D85387" w:rsidP="00C16F79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О</w:t>
            </w:r>
            <w:r w:rsidR="00C16F79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сновна правила кодекса понашања консекутивног преводиоца у процесу превођења. </w:t>
            </w:r>
          </w:p>
          <w:p w:rsidR="005E0D50" w:rsidRDefault="005E0D50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Имперсонална компетенција у раду са различитим клијентима, контрола стреса</w:t>
            </w:r>
            <w:r w:rsidR="00266D5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. Поверљивост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  <w:r w:rsidR="00266D5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података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. </w:t>
            </w:r>
            <w:r w:rsidR="00266D5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Аспекти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вербалне и невербалне комуникације </w:t>
            </w:r>
            <w:r w:rsidR="00266D5C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и културног контекста релевантни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за консекутивно превођење. </w:t>
            </w:r>
          </w:p>
          <w:p w:rsidR="00266D5C" w:rsidRDefault="00266D5C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bookmarkStart w:id="0" w:name="_GoBack"/>
            <w:bookmarkEnd w:id="0"/>
          </w:p>
          <w:p w:rsidR="00A83737" w:rsidRPr="00C509AF" w:rsidRDefault="00A83737" w:rsidP="00C34738">
            <w:pPr>
              <w:tabs>
                <w:tab w:val="left" w:pos="567"/>
              </w:tabs>
              <w:jc w:val="both"/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Практична настава</w:t>
            </w:r>
            <w:r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: </w:t>
            </w:r>
            <w:r w:rsidR="00D85387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Рад са </w:t>
            </w:r>
            <w:r w:rsidR="00C3473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стручним </w:t>
            </w:r>
            <w:r w:rsidR="00D85387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текстовима општег регистра и суочавање са специфичним проблемима </w:t>
            </w:r>
            <w:r w:rsidR="00C3473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ове врсте текстова</w:t>
            </w:r>
            <w:r w:rsidR="00D85387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. Примена техника писменог превођења. </w:t>
            </w:r>
            <w:r w:rsidR="000E264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Обучавање техникама </w:t>
            </w:r>
            <w:r w:rsidR="000E2643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lastRenderedPageBreak/>
              <w:t>консекутивног превођења кроз држање краћих говора на задату тему и упознавање са техникама дисања и контроле гласа. Увежбавање основних преводилачких вештина и метода; принципа хватања бележака у превођењу (нотирање идеја уместо речи, скраћивања, повезивања, негација, емфаза, вертикалност, једноста</w:t>
            </w:r>
            <w:r w:rsidR="00ED0E6B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вност); интеграција основних вештина у консекутивном превођењу; анализа и презентација информација; вежбања усмерена ка адекватном преношењу смисла краћег говора, кроз идентификацију, а затим преношење на језику </w:t>
            </w:r>
            <w:r w:rsidR="00C3473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превода </w:t>
            </w:r>
            <w:r w:rsidR="00ED0E6B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свих суштинских информација и свих битних детаља. Студент учи да адекватно у погледу значења и језичког регистра без вођења</w:t>
            </w:r>
            <w:r w:rsidR="00C509AF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</w:t>
            </w:r>
            <w:r w:rsidR="00764961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бележака </w:t>
            </w:r>
            <w:r w:rsidR="00ED0E6B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преведе краћи говор и да уз усвајање технике вођења бележака преведе консекутивно говор у трајању од приближно </w:t>
            </w:r>
            <w:r w:rsidR="00C509AF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10</w:t>
            </w:r>
            <w:r w:rsidR="00ED0E6B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минута. </w:t>
            </w:r>
            <w:r w:rsidR="00C509AF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Студент се упознаје са значајнијим политичким, културним, економ</w:t>
            </w:r>
            <w:r w:rsidR="00C34738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>ским и правно-политичким темама</w:t>
            </w:r>
            <w:r w:rsidR="00C509AF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 које привлаче интересовање јавности. </w:t>
            </w:r>
            <w:r w:rsidR="00ED0E6B">
              <w:rPr>
                <w:rFonts w:ascii="Times New Roman" w:hAnsi="Times New Roman"/>
                <w:iCs/>
                <w:sz w:val="20"/>
                <w:szCs w:val="20"/>
                <w:lang w:val="sr-Cyrl-CS"/>
              </w:rPr>
              <w:t xml:space="preserve">Студент се самосталним радом припрема за часове тако што проналази, анализира и припрема текстове, говоре за симулације које се одигравају на часу, користи различите типове говора (предавања, интервјуи, поздравни говори), чланци из дневне и недељне штампе. </w:t>
            </w:r>
          </w:p>
        </w:tc>
      </w:tr>
      <w:tr w:rsidR="00A83737" w:rsidRPr="00092214" w:rsidTr="00376DFF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A83737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lastRenderedPageBreak/>
              <w:t xml:space="preserve">Литература </w:t>
            </w:r>
          </w:p>
          <w:p w:rsidR="00D85387" w:rsidRDefault="00A83737" w:rsidP="00C509AF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1. </w:t>
            </w:r>
            <w:r w:rsidR="00D85387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Baker, Mona (1992) In Other Words. A Coursebook on Translation. Routledge.</w:t>
            </w:r>
          </w:p>
          <w:p w:rsidR="00C509AF" w:rsidRDefault="00D85387" w:rsidP="00C509AF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2. </w:t>
            </w:r>
            <w:r w:rsidR="00C509AF" w:rsidRPr="0002192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M. Baker, G. Saldanha (ed.), Routledge Encyclopedia of Translation Studies. London – New York, 2009.</w:t>
            </w:r>
          </w:p>
          <w:p w:rsidR="00ED0E6B" w:rsidRDefault="00D8538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3</w:t>
            </w:r>
            <w:r w:rsidR="00C509AF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 </w:t>
            </w:r>
            <w:r w:rsidR="00ED0E6B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D. Gile, (1995), Basic Concepts and Models for Interpreter and Translation Training. Amsterdam: John Benjamins (revised 2009 edition available as E-Book)</w:t>
            </w:r>
          </w:p>
          <w:p w:rsidR="00ED0E6B" w:rsidRDefault="00D8538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4</w:t>
            </w:r>
            <w:r w:rsidR="00ED0E6B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. Andrew Gillies, Note-Taking for Consecutive Interpreting – A short Course, St. Jerome Publishing Ltd, 2005</w:t>
            </w:r>
          </w:p>
          <w:p w:rsidR="00D85387" w:rsidRDefault="00D8538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5. Samuelsson-Brown, Geoffrey (2004) A practical guide for translators, 4th Edition. Multilingual Matters</w:t>
            </w:r>
          </w:p>
          <w:p w:rsidR="00ED0E6B" w:rsidRDefault="00D8538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6</w:t>
            </w:r>
            <w:r w:rsidR="00ED0E6B"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 xml:space="preserve">. </w:t>
            </w:r>
            <w:r w:rsidR="00ED0E6B">
              <w:rPr>
                <w:rFonts w:ascii="Times New Roman" w:hAnsi="Times New Roman"/>
                <w:bCs/>
                <w:sz w:val="20"/>
                <w:szCs w:val="20"/>
              </w:rPr>
              <w:t>Д. Селесковић, М. Ледерер, Образложен педагошки прилаз настави конференцијског превођења, превод с француског Петар и Љиљана Новаковић, Београд, Удружење научних и стручних преводилаца Србије, Космос, 2007.</w:t>
            </w:r>
          </w:p>
          <w:p w:rsidR="00A83737" w:rsidRPr="00057E9B" w:rsidRDefault="00D8538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7</w:t>
            </w:r>
            <w:r w:rsidR="00A8373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 </w:t>
            </w:r>
            <w:r w:rsidR="00A83737" w:rsidRPr="00057E9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Корунець І. В. Теорія і практика перекладу (аспектний переклад): підручник / під ред. О. І. Тереха</w:t>
            </w:r>
            <w:r w:rsidR="00A8373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/Вінниця: Нова книга, 2000.</w:t>
            </w:r>
          </w:p>
          <w:p w:rsidR="00A83737" w:rsidRPr="00F451E5" w:rsidRDefault="00D8538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sr-Latn-RS"/>
              </w:rPr>
              <w:t>8</w:t>
            </w:r>
            <w:r w:rsidR="00A8373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 </w:t>
            </w:r>
            <w:r w:rsidR="00A83737" w:rsidRPr="00057E9B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Коптілов В. В. Теорія і практика перекладу</w:t>
            </w:r>
            <w:r w:rsidR="00A83737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. Київ: Юніверс, 2002. </w:t>
            </w:r>
          </w:p>
        </w:tc>
      </w:tr>
      <w:tr w:rsidR="00A83737" w:rsidRPr="00092214" w:rsidTr="00376DFF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A83737" w:rsidRPr="00092214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:rsidR="00A83737" w:rsidRPr="00B068AA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:rsidR="00A83737" w:rsidRPr="00B068AA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2</w:t>
            </w:r>
          </w:p>
        </w:tc>
      </w:tr>
      <w:tr w:rsidR="00A83737" w:rsidRPr="00092214" w:rsidTr="00376DFF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A83737" w:rsidRPr="0002192B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sr-Latn-RS"/>
              </w:rPr>
            </w:pPr>
            <w:r w:rsidRPr="001B724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Методе извођења наставе: </w:t>
            </w:r>
            <w:r w:rsidRP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Упознавање студената са градивом кроз теоријска објашњења и конкретне примере у пару украјински-српски језик, и</w:t>
            </w:r>
            <w:r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нтерактивна настава, дискусија; практична настава обухвата самостални рад на примени стечених теоријских знања и дискусију</w:t>
            </w:r>
            <w:r w:rsidRPr="001B7248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.</w:t>
            </w:r>
          </w:p>
        </w:tc>
      </w:tr>
      <w:tr w:rsidR="00A83737" w:rsidRPr="00092214" w:rsidTr="00376DFF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A83737" w:rsidRPr="001B7248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A83737" w:rsidRPr="00092214" w:rsidTr="00376DFF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A83737" w:rsidRPr="001B7248" w:rsidRDefault="00A83737" w:rsidP="00F451E5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:rsidR="00A83737" w:rsidRPr="001B7248" w:rsidRDefault="00A83737" w:rsidP="00F451E5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:rsidR="00A83737" w:rsidRPr="001B7248" w:rsidRDefault="00A83737" w:rsidP="00F451E5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A83737" w:rsidRPr="001B7248" w:rsidRDefault="00A83737" w:rsidP="00F451E5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A83737" w:rsidRPr="001B7248" w:rsidRDefault="00A83737" w:rsidP="00F451E5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A83737" w:rsidRPr="00092214" w:rsidTr="00376DFF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A83737" w:rsidRPr="001B7248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:rsidR="00A83737" w:rsidRPr="001B7248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A83737" w:rsidRPr="001B7248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A83737" w:rsidRPr="001B7248" w:rsidRDefault="00FE5C70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4</w:t>
            </w:r>
            <w:r w:rsidR="00A83737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0</w:t>
            </w:r>
          </w:p>
        </w:tc>
      </w:tr>
      <w:tr w:rsidR="00A83737" w:rsidRPr="00092214" w:rsidTr="00376DFF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A83737" w:rsidRPr="001B7248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:rsidR="00A83737" w:rsidRPr="001B7248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10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A83737" w:rsidRPr="001B7248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</w:t>
            </w:r>
            <w:r w:rsidR="00F31BAE"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т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A83737" w:rsidRPr="00FE5C70" w:rsidRDefault="00FE5C70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10</w:t>
            </w:r>
          </w:p>
        </w:tc>
      </w:tr>
      <w:tr w:rsidR="00A83737" w:rsidRPr="00092214" w:rsidTr="00376DFF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A83737" w:rsidRPr="001B7248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:rsidR="00A83737" w:rsidRPr="001B7248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A83737" w:rsidRPr="001B7248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A83737" w:rsidRPr="001B7248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A83737" w:rsidRPr="00092214" w:rsidTr="00376DFF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:rsidR="00A83737" w:rsidRPr="001B7248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B7248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:rsidR="00A83737" w:rsidRPr="001B7248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:rsidR="00A83737" w:rsidRPr="001B7248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A83737" w:rsidRPr="001B7248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A83737" w:rsidRPr="00092214" w:rsidTr="00376DFF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A83737" w:rsidRPr="00092214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</w:t>
            </w:r>
            <w:r w:rsidR="00F31BAE">
              <w:rPr>
                <w:rFonts w:ascii="Times New Roman" w:hAnsi="Times New Roman"/>
                <w:sz w:val="20"/>
                <w:szCs w:val="20"/>
                <w:lang w:val="sr-Cyrl-CS"/>
              </w:rPr>
              <w:t>,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наведено у табели су само неке опције: (писмени испити, усмени исп</w:t>
            </w:r>
            <w:r w:rsidR="00F31BAE">
              <w:rPr>
                <w:rFonts w:ascii="Times New Roman" w:hAnsi="Times New Roman"/>
                <w:sz w:val="20"/>
                <w:szCs w:val="20"/>
                <w:lang w:val="sr-Cyrl-CS"/>
              </w:rPr>
              <w:t>и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т, презентација пројекта, семинари итд......</w:t>
            </w:r>
          </w:p>
        </w:tc>
      </w:tr>
      <w:tr w:rsidR="00A83737" w:rsidRPr="00092214" w:rsidTr="00376DFF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:rsidR="00A83737" w:rsidRPr="00092214" w:rsidRDefault="00A83737" w:rsidP="008D1DC7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:rsidR="00A83737" w:rsidRPr="00F41627" w:rsidRDefault="00A83737" w:rsidP="008D1DC7">
      <w:pPr>
        <w:rPr>
          <w:rFonts w:ascii="Times New Roman" w:hAnsi="Times New Roman"/>
          <w:bCs/>
          <w:lang w:val="sr-Cyrl-CS"/>
        </w:rPr>
      </w:pPr>
    </w:p>
    <w:p w:rsidR="00A83737" w:rsidRDefault="00A83737" w:rsidP="008D1DC7">
      <w:pPr>
        <w:jc w:val="center"/>
        <w:rPr>
          <w:rFonts w:ascii="Times New Roman" w:hAnsi="Times New Roman"/>
          <w:bCs/>
        </w:rPr>
      </w:pPr>
    </w:p>
    <w:p w:rsidR="00A83737" w:rsidRDefault="00A83737" w:rsidP="008D1DC7"/>
    <w:p w:rsidR="00467FF7" w:rsidRDefault="00467FF7" w:rsidP="008D1DC7"/>
    <w:sectPr w:rsidR="00467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37"/>
    <w:rsid w:val="000E2643"/>
    <w:rsid w:val="00266D5C"/>
    <w:rsid w:val="00467FF7"/>
    <w:rsid w:val="004D48A4"/>
    <w:rsid w:val="00594667"/>
    <w:rsid w:val="005E0D50"/>
    <w:rsid w:val="00764961"/>
    <w:rsid w:val="007D35DC"/>
    <w:rsid w:val="00845C9C"/>
    <w:rsid w:val="00855ACA"/>
    <w:rsid w:val="00885854"/>
    <w:rsid w:val="008D1DC7"/>
    <w:rsid w:val="00921380"/>
    <w:rsid w:val="00954E22"/>
    <w:rsid w:val="00A83737"/>
    <w:rsid w:val="00BB3C02"/>
    <w:rsid w:val="00BC1D9E"/>
    <w:rsid w:val="00C16F79"/>
    <w:rsid w:val="00C34738"/>
    <w:rsid w:val="00C509AF"/>
    <w:rsid w:val="00CA1F9D"/>
    <w:rsid w:val="00D85387"/>
    <w:rsid w:val="00E805A7"/>
    <w:rsid w:val="00E92141"/>
    <w:rsid w:val="00ED0E6B"/>
    <w:rsid w:val="00EE5DEF"/>
    <w:rsid w:val="00F31BAE"/>
    <w:rsid w:val="00F451E5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8D904"/>
  <w15:chartTrackingRefBased/>
  <w15:docId w15:val="{2805BEE8-E7D7-48A3-AF71-4F46C648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737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2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Gaev</dc:creator>
  <cp:keywords/>
  <dc:description/>
  <cp:lastModifiedBy>Milena I</cp:lastModifiedBy>
  <cp:revision>14</cp:revision>
  <dcterms:created xsi:type="dcterms:W3CDTF">2022-08-20T22:14:00Z</dcterms:created>
  <dcterms:modified xsi:type="dcterms:W3CDTF">2022-08-23T10:11:00Z</dcterms:modified>
</cp:coreProperties>
</file>