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BC" w:rsidRPr="00085D06" w:rsidRDefault="002969BC" w:rsidP="002969BC">
      <w:pPr>
        <w:ind w:left="2160" w:firstLine="720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2969BC" w:rsidRPr="00092214" w:rsidRDefault="002969BC" w:rsidP="002969BC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2969BC" w:rsidRPr="00092214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2969BC" w:rsidRPr="00BF4112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МАС Превођење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2969BC" w:rsidRPr="00092214" w:rsidRDefault="002969BC" w:rsidP="009C29C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Књижевно превођење </w:t>
            </w:r>
            <w:r w:rsidR="009C29C5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‒ украјински језик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2969BC" w:rsidRPr="001D24E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Милена Ивановић, Тања Гаев; сарадник: Анастасија Тепшић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2969BC" w:rsidRPr="00092214" w:rsidRDefault="009C29C5" w:rsidP="009C29C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Одслушан предмет </w:t>
            </w:r>
            <w:r w:rsidR="002969B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9C29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Књижевно превођење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9C29C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‒ украјински језик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2969BC" w:rsidRPr="00092214" w:rsidRDefault="002969BC" w:rsidP="008B541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C6F90">
              <w:rPr>
                <w:rFonts w:ascii="Times New Roman" w:hAnsi="Times New Roman"/>
                <w:sz w:val="20"/>
                <w:szCs w:val="20"/>
              </w:rPr>
              <w:t xml:space="preserve">Упознавање студената са </w:t>
            </w:r>
            <w:r w:rsidR="009C29C5">
              <w:rPr>
                <w:rFonts w:ascii="Times New Roman" w:hAnsi="Times New Roman"/>
                <w:sz w:val="20"/>
                <w:szCs w:val="20"/>
              </w:rPr>
              <w:t>специфичностима превођења есеја, књижевне публицистике, књижевности за децу, драмског текста, те основама аудио-визуелног превођења.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 Овладавање </w:t>
            </w:r>
            <w:r w:rsidR="009C29C5">
              <w:rPr>
                <w:rFonts w:ascii="Times New Roman" w:hAnsi="Times New Roman"/>
                <w:sz w:val="20"/>
                <w:szCs w:val="20"/>
              </w:rPr>
              <w:t xml:space="preserve">одговарајућим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>преводилачким поступцима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>на лексичком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 граматичком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стилистичком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нивоу, основним принципима  превођења појединих језичких јединица. Развијање критичког мишљења, способности анализе сопственог и туђих превода.  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2969BC" w:rsidRPr="00092214" w:rsidRDefault="002969BC" w:rsidP="008B541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</w:t>
            </w:r>
            <w:r w:rsid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уме да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користи различте врсте речника и других помагала при превођењу. Способан је да примени стечена теоријска знања и практичне вештине у одређивању и решавању конкретних преводилачких проблема при превођењу </w:t>
            </w:r>
            <w:r w:rsidR="009C29C5" w:rsidRP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есеја, књижевне публицистике, књижевности за децу, драмског текста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да самостално изврши предпреводну анализу </w:t>
            </w:r>
            <w:r w:rsid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ових врста текстова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 дефинише и примени одговарајућу преводилачку стратегију. Способан је да самостално преведе </w:t>
            </w:r>
            <w:r w:rsid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есеј</w:t>
            </w:r>
            <w:r w:rsidR="009C29C5" w:rsidRP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књижевн</w:t>
            </w:r>
            <w:r w:rsid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</w:t>
            </w:r>
            <w:r w:rsidR="009C29C5" w:rsidRP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публицистик</w:t>
            </w:r>
            <w:r w:rsid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у, књижевност</w:t>
            </w:r>
            <w:r w:rsidR="009C29C5" w:rsidRP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за децу, драмск</w:t>
            </w:r>
            <w:r w:rsid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 текст</w:t>
            </w:r>
            <w:r w:rsidR="008B541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са украјинског на српски језик </w:t>
            </w:r>
            <w:r w:rsidRPr="00E1395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уз поштовање граматичких, синтаксичких и ортографских норми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те да објективно критички оцени свој и туђ превод.</w:t>
            </w:r>
            <w:r w:rsidR="009C29C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Способан је да перцепира текст на слух, пренесе га у писану форму и преведе у складу са основним захтевима за аудио-визуелно превођење.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9C29C5" w:rsidRPr="009C29C5" w:rsidRDefault="009C29C5" w:rsidP="009C29C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C29C5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Тема 1: Специфичности превођења прозног текста: есеј и књижевна публицистика. Есеј као део глобалног текста. Књижевни и публицистички елементи језика и стила есеја и проблеми њиховог превођења. Деформација фразеологизама као стилски поступак, клишеи као средство ироније, алузије, скривени цитати</w:t>
            </w:r>
          </w:p>
          <w:p w:rsidR="009C29C5" w:rsidRPr="009C29C5" w:rsidRDefault="009C29C5" w:rsidP="009C29C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C29C5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Тема 2: Специфичности превођења прозног текста: дечја књижевност, књиге за децу и тинејџере – сличности и разлике. Еквивалентност и адекватност превода. Степен адаптације при превођењу. Језичке особености књижевности за децу. Превођење имена. Превођење ауторских неологизама.</w:t>
            </w:r>
          </w:p>
          <w:p w:rsidR="009C29C5" w:rsidRPr="009C29C5" w:rsidRDefault="009C29C5" w:rsidP="009C29C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C29C5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Тема 3: Лектура, транслатолошка анализа и оцена свог и туђег превода прозног књижевног дела.</w:t>
            </w:r>
          </w:p>
          <w:p w:rsidR="00767431" w:rsidRDefault="009C29C5" w:rsidP="009C29C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C29C5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Тема 4: Специфичности превођења драме као текста намењеног за извођење на сцени: особености сценског говора, логика и ритам дијалога, говор ликова као средство њихове карактеризације, разговорни и узвишени стил у драмском тексту, емотивно обојена лексика, особености синтаксе; превод реалија у драмском тексту. Ремарке и дидаскалије.</w:t>
            </w:r>
            <w:r w:rsidR="0076743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Специфичности превођења комедије, трагедије, дечје драме.</w:t>
            </w:r>
            <w:r w:rsidRPr="009C29C5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76743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Кратак преглед класичне и саврмене украјинске драме. </w:t>
            </w:r>
          </w:p>
          <w:p w:rsidR="009C29C5" w:rsidRPr="009C29C5" w:rsidRDefault="00767431" w:rsidP="009C29C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5: </w:t>
            </w:r>
            <w:r w:rsidR="009C29C5" w:rsidRPr="009C29C5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Основе аудио-визуелног превођења.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Кратак преглед украјинског филма.</w:t>
            </w:r>
          </w:p>
          <w:p w:rsidR="009C29C5" w:rsidRPr="009C29C5" w:rsidRDefault="00767431" w:rsidP="009C29C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Тема 6</w:t>
            </w:r>
            <w:r w:rsidR="009C29C5" w:rsidRPr="009C29C5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: Превођење наслова књижевног дела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, наслова филмова</w:t>
            </w:r>
            <w:r w:rsidR="009C29C5" w:rsidRPr="009C29C5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– информативни, симболички, рекламни тип наслова</w:t>
            </w:r>
          </w:p>
          <w:p w:rsidR="002969BC" w:rsidRDefault="002969BC" w:rsidP="0076743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: примена знања стечених у оквиру теоријске наставе кроз анализу </w:t>
            </w:r>
            <w:r w:rsidR="0076743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одговарајућих врста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текстова на украјинском језику; анализу постојећих превода </w:t>
            </w:r>
            <w:r w:rsidR="0076743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таквих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текстова са украјинског језика; </w:t>
            </w:r>
            <w:bookmarkStart w:id="0" w:name="_GoBack"/>
            <w:bookmarkEnd w:id="0"/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превођење са украјинског језика, анализу и лекторисање сопствених превода.</w:t>
            </w:r>
          </w:p>
          <w:p w:rsidR="00B33668" w:rsidRDefault="00B33668" w:rsidP="00B3366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Обавезни саставни део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курса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 самостални рад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 циљу развијања вештине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самосталне примене стечених знања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 будућем преводилачком раду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Самостални рад подразумева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припрему за превођење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задатих или изабраних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ов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 украјинском језику 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читање литературе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предпреводна анализа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),</w:t>
            </w:r>
            <w:r w:rsidRPr="00B4594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само превођење текстова на српски језик, самостално лекторисање сопственог превода након његове анализе на часу.</w:t>
            </w:r>
          </w:p>
          <w:p w:rsidR="008B5419" w:rsidRPr="00092214" w:rsidRDefault="008B5419" w:rsidP="00B3366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2969BC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Литература </w:t>
            </w:r>
          </w:p>
          <w:p w:rsidR="002969BC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1. </w:t>
            </w:r>
            <w:r w:rsidRPr="0002192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M. Baker, G. Saldanha (ed.), Routledge Encyclopedia of Translation Studies. London – New York, 2009.</w:t>
            </w:r>
          </w:p>
          <w:p w:rsidR="002969BC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2. </w:t>
            </w:r>
            <w:r w:rsidRPr="0002192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М. Сибиновић. Нови живот оригинала. Увод у превођење. Београд: Просвета, Алтера, УСНПС, 2009</w:t>
            </w:r>
          </w:p>
          <w:p w:rsidR="002969BC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3. </w:t>
            </w:r>
            <w:r w:rsidRPr="0002192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М.Стојнић, О превођењу књижевног текста, Сарајево, 1980.   </w:t>
            </w:r>
          </w:p>
          <w:p w:rsidR="002969BC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57E9B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4. </w:t>
            </w:r>
            <w:r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U. Eko.  Kazati gotovo istu stvar : iskustvo prevođenja. Beograd : Paideia, 2008.</w:t>
            </w:r>
            <w:r w:rsidRPr="0002192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2969BC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5. </w:t>
            </w:r>
            <w:r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Корунець І. В. Теорія і практика перекладу (аспектний переклад) : підручник / під ред. О. І. Тереха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/</w:t>
            </w:r>
          </w:p>
          <w:p w:rsidR="002969BC" w:rsidRPr="00057E9B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Вінниця : Нова книга, 2000.</w:t>
            </w:r>
          </w:p>
          <w:p w:rsidR="002969BC" w:rsidRPr="00057E9B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6. </w:t>
            </w:r>
            <w:r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Коптілов В. В. Теорія і практика перекладу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Київ : Юніверс, 2002. </w:t>
            </w:r>
          </w:p>
          <w:p w:rsidR="002969BC" w:rsidRDefault="002969BC" w:rsidP="00AE79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7. </w:t>
            </w:r>
            <w:r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Landers, Clifford E. Literary translation: a practical guide.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Clevedon (Inglaterra): Multilingual Matters, 2001</w:t>
            </w:r>
          </w:p>
          <w:p w:rsidR="002969BC" w:rsidRPr="00C160D8" w:rsidRDefault="002969BC" w:rsidP="00AE79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8.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Модестов В.С. Художественн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перевод: история, теория практика, Москва: Изд. Лит. инст. им. А.М. Горького, 2006.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2969BC" w:rsidRPr="00B068AA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2969BC" w:rsidRPr="00B068AA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2969BC" w:rsidRPr="0002192B" w:rsidRDefault="002969BC" w:rsidP="00AE79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sr-Latn-R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Методе извођења наставе: 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Упознавање студената са градивом кроз теоријска објашњења и конкретне примере у пару украјински-српски језик, 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нтерактивна настава, дискусија; практична настава обухвата самостални рад на примени стечених теоријских знања и дискусију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2969BC" w:rsidRPr="001B7248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2969BC" w:rsidRPr="00092214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2969BC" w:rsidRPr="00092214" w:rsidRDefault="002969BC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2969BC" w:rsidRPr="00F41627" w:rsidRDefault="002969BC" w:rsidP="002969BC">
      <w:pPr>
        <w:jc w:val="center"/>
        <w:rPr>
          <w:rFonts w:ascii="Times New Roman" w:hAnsi="Times New Roman"/>
          <w:bCs/>
          <w:lang w:val="sr-Cyrl-CS"/>
        </w:rPr>
      </w:pPr>
    </w:p>
    <w:p w:rsidR="002969BC" w:rsidRDefault="002969BC" w:rsidP="002969BC">
      <w:pPr>
        <w:jc w:val="center"/>
        <w:rPr>
          <w:rFonts w:ascii="Times New Roman" w:hAnsi="Times New Roman"/>
          <w:bCs/>
        </w:rPr>
      </w:pPr>
    </w:p>
    <w:p w:rsidR="002969BC" w:rsidRDefault="002969BC" w:rsidP="002969BC"/>
    <w:p w:rsidR="008430BB" w:rsidRDefault="008430BB" w:rsidP="002969BC"/>
    <w:sectPr w:rsidR="008430B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BC"/>
    <w:rsid w:val="00174834"/>
    <w:rsid w:val="0019613B"/>
    <w:rsid w:val="002969BC"/>
    <w:rsid w:val="00353379"/>
    <w:rsid w:val="005205E2"/>
    <w:rsid w:val="00767431"/>
    <w:rsid w:val="008430BB"/>
    <w:rsid w:val="008B5419"/>
    <w:rsid w:val="009C29C5"/>
    <w:rsid w:val="00A606CC"/>
    <w:rsid w:val="00A71398"/>
    <w:rsid w:val="00B33668"/>
    <w:rsid w:val="00C7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0F29"/>
  <w15:chartTrackingRefBased/>
  <w15:docId w15:val="{9D84D7BF-373A-4535-BB03-2BB15882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9BC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</dc:creator>
  <cp:keywords/>
  <dc:description/>
  <cp:lastModifiedBy>Milena I</cp:lastModifiedBy>
  <cp:revision>3</cp:revision>
  <dcterms:created xsi:type="dcterms:W3CDTF">2022-08-09T15:45:00Z</dcterms:created>
  <dcterms:modified xsi:type="dcterms:W3CDTF">2022-08-09T16:15:00Z</dcterms:modified>
</cp:coreProperties>
</file>