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A0" w:rsidRPr="00085D06" w:rsidRDefault="00DD23A0" w:rsidP="00DD23A0">
      <w:pPr>
        <w:ind w:left="2160" w:firstLine="720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DD23A0" w:rsidRPr="00092214" w:rsidRDefault="00DD23A0" w:rsidP="00DD23A0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DD23A0" w:rsidRPr="00092214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DD23A0" w:rsidRPr="00BF4112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МАС Превођење</w:t>
            </w: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DD23A0" w:rsidRPr="00092214" w:rsidRDefault="00DD23A0" w:rsidP="00DD23A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Књижевно превођење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‒ украјински језик</w:t>
            </w: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DD23A0" w:rsidRPr="001D24E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Милена Ивановић, Тања Гаев; сарадник: Анастасија Тепшић</w:t>
            </w: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DD23A0" w:rsidRPr="00092214" w:rsidRDefault="00DD23A0" w:rsidP="00DD23A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Одслушан предмет  </w:t>
            </w:r>
            <w:r w:rsidRPr="009C29C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Књижевно превођење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9C29C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‒ украјински језик</w:t>
            </w: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DD23A0" w:rsidRPr="00092214" w:rsidRDefault="00DD23A0" w:rsidP="00DD23A0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C6F90">
              <w:rPr>
                <w:rFonts w:ascii="Times New Roman" w:hAnsi="Times New Roman"/>
                <w:sz w:val="20"/>
                <w:szCs w:val="20"/>
              </w:rPr>
              <w:t xml:space="preserve">Упознавање студената са </w:t>
            </w:r>
            <w:r>
              <w:rPr>
                <w:rFonts w:ascii="Times New Roman" w:hAnsi="Times New Roman"/>
                <w:sz w:val="20"/>
                <w:szCs w:val="20"/>
              </w:rPr>
              <w:t>специфичностима превођења</w:t>
            </w:r>
            <w:r>
              <w:t xml:space="preserve"> </w:t>
            </w:r>
            <w:r w:rsidRPr="00DD23A0">
              <w:rPr>
                <w:rFonts w:ascii="Times New Roman" w:hAnsi="Times New Roman"/>
                <w:sz w:val="20"/>
                <w:szCs w:val="20"/>
              </w:rPr>
              <w:t>народне књижевности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t xml:space="preserve"> </w:t>
            </w:r>
            <w:r w:rsidRPr="00DD23A0">
              <w:rPr>
                <w:rFonts w:ascii="Times New Roman" w:hAnsi="Times New Roman"/>
                <w:sz w:val="20"/>
                <w:szCs w:val="20"/>
              </w:rPr>
              <w:t>Упознавање студената са специфичностима превођења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поезије.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23A0">
              <w:rPr>
                <w:rFonts w:ascii="Times New Roman" w:hAnsi="Times New Roman"/>
                <w:sz w:val="20"/>
                <w:szCs w:val="20"/>
              </w:rPr>
              <w:t xml:space="preserve">Стицање знања о историји превођења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поезије </w:t>
            </w:r>
            <w:r w:rsidRPr="00DD23A0">
              <w:rPr>
                <w:rFonts w:ascii="Times New Roman" w:hAnsi="Times New Roman"/>
                <w:sz w:val="20"/>
                <w:szCs w:val="20"/>
              </w:rPr>
              <w:t xml:space="preserve">са украјинског језика на српски. 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 xml:space="preserve">Овладавање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одговарајућим 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>преводилачким поступцима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>на лексичком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 xml:space="preserve"> граматичком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стилистичком 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 xml:space="preserve">нивоу, основним принципима  превођења појединих језичких јединица. Развијање критичког мишљења, способности анализе сопственог и туђих превода.  </w:t>
            </w:r>
            <w:r>
              <w:rPr>
                <w:rFonts w:ascii="Times New Roman" w:hAnsi="Times New Roman"/>
                <w:sz w:val="20"/>
                <w:szCs w:val="20"/>
              </w:rPr>
              <w:t>Увођење студената у колективни рад на преводу.</w:t>
            </w: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DD23A0" w:rsidRPr="00092214" w:rsidRDefault="00DD23A0" w:rsidP="00DD23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 уме да користи различте врсте речника и других помагала при превођењу. Способан је да примени стечена теоријска знања и практичне вештине у одређивању и решавању конкретних преводилачких проблема при превођењу </w:t>
            </w:r>
            <w:r w:rsidRPr="009C29C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појединих форми народне књижевности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 поезије. У стању је да самостално изврши предпреводну анализу ових врста текстова и дефинише и примени одговарајућу преводилачку стратегију. Способан је да коректно преведе </w:t>
            </w:r>
            <w:r w:rsidRPr="009C29C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поједин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е</w:t>
            </w:r>
            <w:r w:rsidRPr="009C29C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форм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е</w:t>
            </w:r>
            <w:r w:rsidRPr="009C29C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народне књижевности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поезију</w:t>
            </w:r>
            <w:r w:rsidRPr="009C29C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са украјинског на српски језик </w:t>
            </w:r>
            <w:r w:rsidRPr="00E1395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уз поштовање граматичких, синтаксичких и ортографских норми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те да објективно критички оцени свој и туђ превод. Способан је да успостави ефикасну сарадњу са издавачем, уредником, лектором.</w:t>
            </w: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DD23A0" w:rsidRDefault="00DD23A0" w:rsidP="00AE794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1</w:t>
            </w: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: Превођење народне књижевности.  Украјински епос, народна лирика и драма; украјинске думе, баладе и историјске песме – основне одлике Пословице и изреке као жанр украјинског фолклора,</w:t>
            </w:r>
            <w:r w:rsidR="00556AD9">
              <w:rPr>
                <w:rFonts w:ascii="Times New Roman" w:hAnsi="Times New Roman"/>
                <w:iCs/>
                <w:sz w:val="20"/>
                <w:szCs w:val="20"/>
              </w:rPr>
              <w:t xml:space="preserve"> функција пословица и изрека у различитим врстама текста,</w:t>
            </w:r>
            <w:bookmarkStart w:id="0" w:name="_GoBack"/>
            <w:bookmarkEnd w:id="0"/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начини њиховог превођења. Народна и ауторска бајка, басна – особености превођења. Превођење имена, сталних епитета, устаљених формула. Митолошка симболика као преводилачки проблем. Преношење националних културних реалија. Превођење деминутива и хипокористика. Стилске фигуре фолклорног текста и њихово превођење. </w:t>
            </w:r>
          </w:p>
          <w:p w:rsidR="00DD23A0" w:rsidRPr="00DD23A0" w:rsidRDefault="00DD23A0" w:rsidP="00DD23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2</w:t>
            </w: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: Специфичности превођења поезије. </w:t>
            </w:r>
          </w:p>
          <w:p w:rsidR="00DD23A0" w:rsidRPr="00DD23A0" w:rsidRDefault="00DD23A0" w:rsidP="00DD23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Поетска традиција, системи версификације у украјинкој и српској књижевности, начини превазилажења разлика. </w:t>
            </w:r>
          </w:p>
          <w:p w:rsidR="00DD23A0" w:rsidRPr="00DD23A0" w:rsidRDefault="00DD23A0" w:rsidP="00DD23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Предпреводна анализа поетског текста: семантика и стил; језичка и уметничка средства; ритмичка, фонетска, синтаксичка структура, лексичка средства. Поетски текст као једна целовита јединица превођења.</w:t>
            </w:r>
          </w:p>
          <w:p w:rsidR="00DD23A0" w:rsidRPr="00DD23A0" w:rsidRDefault="00DD23A0" w:rsidP="00DD23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Одабир у језику превода и књижевној традицији еквивалентних средстава преношења најважнијих одлика и елемената оригинала. Синтеза ових средстава у једну поетску целину. Оцена и кориговање превода.</w:t>
            </w:r>
          </w:p>
          <w:p w:rsidR="00DD23A0" w:rsidRPr="00DD23A0" w:rsidRDefault="00DD23A0" w:rsidP="00DD23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Преношење смисла, ауторски и културно-историјски мотиви и симоболи.</w:t>
            </w:r>
          </w:p>
          <w:p w:rsidR="00DD23A0" w:rsidRPr="00DD23A0" w:rsidRDefault="00DD23A0" w:rsidP="00DD23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Преношење ритма, лексичких и синтаксичких паралелизама, стилских фигура.</w:t>
            </w:r>
          </w:p>
          <w:p w:rsidR="00DD23A0" w:rsidRPr="00DD23A0" w:rsidRDefault="00DD23A0" w:rsidP="00DD23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Фонетски проблеми превођења поезије – конфликт садржаја и форме: рима, еуфонија, ономатопеја, фонетски симболизам, фонетске асоцијације. Употреба речника рима, обратног речника.</w:t>
            </w:r>
          </w:p>
          <w:p w:rsidR="00DD23A0" w:rsidRPr="00DD23A0" w:rsidRDefault="00DD23A0" w:rsidP="00DD23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Лексички проблеми превођења поезије: стилска изнијансираност лексике, место једне или друге лексеме у стиху, употреба неологизама, игре речи, лексичког контраста, одступања од семантичке и граматичке спојивости.</w:t>
            </w:r>
          </w:p>
          <w:p w:rsidR="00DD23A0" w:rsidRPr="00DD23A0" w:rsidRDefault="00DD23A0" w:rsidP="00DD23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Поетска синтакса као преводилачки проблем.</w:t>
            </w:r>
          </w:p>
          <w:p w:rsidR="00DD23A0" w:rsidRPr="00DD23A0" w:rsidRDefault="00DD23A0" w:rsidP="00DD23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Додавање и изостављање при превођењу поезије.</w:t>
            </w:r>
          </w:p>
          <w:p w:rsidR="00DD23A0" w:rsidRPr="00DD23A0" w:rsidRDefault="00DD23A0" w:rsidP="00DD23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lastRenderedPageBreak/>
              <w:t>Разлике између поетског и прозног текста. Превођење белог стиха, слободног стиха, стихова у прози, римоване прозе.</w:t>
            </w:r>
          </w:p>
          <w:p w:rsidR="00DD23A0" w:rsidRPr="00DD23A0" w:rsidRDefault="00DD23A0" w:rsidP="00DD23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Превођење поезије за децу.</w:t>
            </w:r>
          </w:p>
          <w:p w:rsidR="00DD23A0" w:rsidRPr="00DD23A0" w:rsidRDefault="00DD23A0" w:rsidP="00913063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Транслатолошка анализа и оцена свог и туђег превода </w:t>
            </w:r>
            <w:r w:rsidR="0091306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поетског</w:t>
            </w: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књижевног дела.</w:t>
            </w:r>
          </w:p>
          <w:p w:rsidR="00DD23A0" w:rsidRPr="00DD23A0" w:rsidRDefault="00DD23A0" w:rsidP="00913063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</w:t>
            </w:r>
            <w:r w:rsidR="0091306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3</w:t>
            </w: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: Преводи украјинске класичне и савремене поезије на српски језик.</w:t>
            </w:r>
          </w:p>
          <w:p w:rsidR="00DD23A0" w:rsidRPr="00DD23A0" w:rsidRDefault="00DD23A0" w:rsidP="00913063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</w:t>
            </w:r>
            <w:r w:rsidR="0091306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4</w:t>
            </w: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: Принципи састављања преводних антологија</w:t>
            </w:r>
            <w:r w:rsidR="0091306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.</w:t>
            </w:r>
          </w:p>
          <w:p w:rsidR="00DD23A0" w:rsidRDefault="00DD23A0" w:rsidP="00DD23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</w:t>
            </w:r>
            <w:r w:rsidR="0091306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5</w:t>
            </w:r>
            <w:r w:rsidRPr="00DD23A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: Сарадња књижевног преводиоца са уредником и лектором.</w:t>
            </w:r>
          </w:p>
          <w:p w:rsidR="00913063" w:rsidRDefault="00913063" w:rsidP="00AE794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DD23A0" w:rsidRDefault="00DD23A0" w:rsidP="00AE794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: примена знања стечених у оквиру теоријске наставе кроз анализу </w:t>
            </w:r>
            <w:r w:rsidR="0091306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поетских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текстова на украјинском језику; анализу постојећих превода </w:t>
            </w:r>
            <w:r w:rsidR="0091306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поезије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са украјинског језика; превођење са украјинског језика, анализу и</w:t>
            </w:r>
            <w:r w:rsidR="0091306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лекторисање сопствених превода; предпредводна анализа појединих форми народне књижевности, превођење ових форми.</w:t>
            </w:r>
          </w:p>
          <w:p w:rsidR="00DD23A0" w:rsidRPr="00092214" w:rsidRDefault="00DD23A0" w:rsidP="00AE794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Обавезни саставни део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курса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 самостални рад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 циљу развијања вештине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самосталне примене стечених знања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 будућем преводилачком раду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Самостални рад подразумева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припрему за превођење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задатих или изабраних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ов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 украјинском језику 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читање литературе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предпреводна анализа),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само превођење текстова на српски језик, самостално лекторисање сопственог превода након његове анализе на часу.</w:t>
            </w: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DD23A0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Литература </w:t>
            </w:r>
          </w:p>
          <w:p w:rsidR="00DD23A0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1. </w:t>
            </w:r>
            <w:r w:rsidRPr="0002192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M. Baker, G. Saldanha (ed.), Routledge Encyclopedia of Translation Studies. London – New York, 2009.</w:t>
            </w:r>
          </w:p>
          <w:p w:rsidR="00DD23A0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2. </w:t>
            </w:r>
            <w:r w:rsidRPr="0002192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М. Сибиновић. Нови живот оригинала. Увод у превођење. Београд: Просвета, Алтера, УСНПС, 2009</w:t>
            </w:r>
          </w:p>
          <w:p w:rsidR="00DD23A0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3. </w:t>
            </w:r>
            <w:r w:rsidRPr="0002192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М.Стојнић, О превођењу књижевног текста, Сарајево, 1980.   </w:t>
            </w:r>
          </w:p>
          <w:p w:rsidR="00DD23A0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57E9B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4. </w:t>
            </w:r>
            <w:r w:rsidRPr="00057E9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U. Eko.  Kazati gotovo istu stvar : iskustvo prevođenja. Beograd : Paideia, 2008.</w:t>
            </w:r>
            <w:r w:rsidRPr="0002192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DD23A0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5. </w:t>
            </w:r>
            <w:r w:rsidRPr="00057E9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Корунець І. В. Теорія і практика перекладу (аспектний переклад) : підручник / під ред. О. І. Тереха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/</w:t>
            </w:r>
          </w:p>
          <w:p w:rsidR="00DD23A0" w:rsidRPr="00057E9B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Вінниця : Нова книга, 2000.</w:t>
            </w:r>
          </w:p>
          <w:p w:rsidR="00DD23A0" w:rsidRPr="00057E9B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6. </w:t>
            </w:r>
            <w:r w:rsidRPr="00057E9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Коптілов В. В. Теорія і практика перекладу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Київ : Юніверс, 2002. </w:t>
            </w:r>
          </w:p>
          <w:p w:rsidR="00DD23A0" w:rsidRDefault="00DD23A0" w:rsidP="00AE794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7. </w:t>
            </w:r>
            <w:r w:rsidRPr="00057E9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Landers, Clifford E. Literary translation: a practical guide.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Clevedon (Inglaterra): Multilingual Matters, 2001</w:t>
            </w:r>
          </w:p>
          <w:p w:rsidR="00DD23A0" w:rsidRPr="00C160D8" w:rsidRDefault="00DD23A0" w:rsidP="00AE794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8.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Модестов В.С. Художественн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перевод: история, теория практика, Москва: Изд. Лит. инст. им. А.М. Горького, 2006.</w:t>
            </w: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DD23A0" w:rsidRPr="00B068AA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DD23A0" w:rsidRPr="00B068AA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DD23A0" w:rsidRPr="0002192B" w:rsidRDefault="00DD23A0" w:rsidP="00AE794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sr-Latn-RS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Методе извођења наставе: 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Упознавање студената са градивом кроз теоријска објашњења и конкретне примере у пару украјински-српски језик, 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нтерактивна настава, дискусија; практична настава обухвата самостални рад на примени стечених теоријских знања и дискусију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DD23A0" w:rsidRPr="00092214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DD23A0" w:rsidRPr="00F41627" w:rsidRDefault="00DD23A0" w:rsidP="00DD23A0">
      <w:pPr>
        <w:jc w:val="center"/>
        <w:rPr>
          <w:rFonts w:ascii="Times New Roman" w:hAnsi="Times New Roman"/>
          <w:bCs/>
          <w:lang w:val="sr-Cyrl-CS"/>
        </w:rPr>
      </w:pPr>
    </w:p>
    <w:p w:rsidR="00DD23A0" w:rsidRDefault="00DD23A0" w:rsidP="00DD23A0">
      <w:pPr>
        <w:jc w:val="center"/>
        <w:rPr>
          <w:rFonts w:ascii="Times New Roman" w:hAnsi="Times New Roman"/>
          <w:bCs/>
        </w:rPr>
      </w:pPr>
    </w:p>
    <w:p w:rsidR="00DD23A0" w:rsidRDefault="00DD23A0" w:rsidP="00DD23A0"/>
    <w:p w:rsidR="00DD23A0" w:rsidRDefault="00DD23A0" w:rsidP="00DD23A0"/>
    <w:p w:rsidR="008430BB" w:rsidRPr="00DD23A0" w:rsidRDefault="008430BB" w:rsidP="00DD23A0"/>
    <w:sectPr w:rsidR="008430BB" w:rsidRPr="00DD23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A0"/>
    <w:rsid w:val="00174834"/>
    <w:rsid w:val="0019613B"/>
    <w:rsid w:val="00353379"/>
    <w:rsid w:val="005205E2"/>
    <w:rsid w:val="00556AD9"/>
    <w:rsid w:val="008430BB"/>
    <w:rsid w:val="00913063"/>
    <w:rsid w:val="00A606CC"/>
    <w:rsid w:val="00A71398"/>
    <w:rsid w:val="00DD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C38AE"/>
  <w15:chartTrackingRefBased/>
  <w15:docId w15:val="{068155A4-027C-401B-B77D-0811225B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3A0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</dc:creator>
  <cp:keywords/>
  <dc:description/>
  <cp:lastModifiedBy>Milena I</cp:lastModifiedBy>
  <cp:revision>2</cp:revision>
  <dcterms:created xsi:type="dcterms:W3CDTF">2022-08-09T16:04:00Z</dcterms:created>
  <dcterms:modified xsi:type="dcterms:W3CDTF">2022-08-16T11:44:00Z</dcterms:modified>
</cp:coreProperties>
</file>